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C4" w:rsidRPr="00017A7A" w:rsidRDefault="00BF4FC4" w:rsidP="000932B7">
      <w:pPr>
        <w:jc w:val="center"/>
        <w:rPr>
          <w:rFonts w:ascii="Book Antiqua" w:hAnsi="Book Antiqua"/>
        </w:rPr>
      </w:pPr>
      <w:r w:rsidRPr="00017A7A">
        <w:rPr>
          <w:rFonts w:ascii="Book Antiqua" w:hAnsi="Book Antiqua"/>
          <w:b/>
          <w:smallCaps/>
        </w:rPr>
        <w:t>Staff Report</w:t>
      </w:r>
    </w:p>
    <w:p w:rsidR="00BF4FC4" w:rsidRPr="00017A7A" w:rsidRDefault="00516D2E" w:rsidP="000932B7">
      <w:pPr>
        <w:jc w:val="both"/>
        <w:rPr>
          <w:rFonts w:ascii="Book Antiqua" w:hAnsi="Book Antiqua"/>
          <w:b/>
          <w:bCs/>
          <w:sz w:val="22"/>
          <w:szCs w:val="22"/>
        </w:rPr>
      </w:pPr>
      <w:r w:rsidRPr="00017A7A">
        <w:rPr>
          <w:rFonts w:ascii="Book Antiqua" w:hAnsi="Book Antiqua"/>
          <w:noProof/>
          <w:sz w:val="22"/>
          <w:szCs w:val="22"/>
        </w:rPr>
        <w:pict>
          <v:line id="_x0000_s1026" style="position:absolute;left:0;text-align:left;z-index:251657728" from="-90pt,5.5pt" to="522pt,5.5pt" strokeweight="1.25pt"/>
        </w:pict>
      </w:r>
    </w:p>
    <w:p w:rsidR="001B7002" w:rsidRPr="00017A7A" w:rsidRDefault="00BF4FC4" w:rsidP="00A01509">
      <w:pPr>
        <w:spacing w:before="120"/>
        <w:rPr>
          <w:rFonts w:ascii="Book Antiqua" w:hAnsi="Book Antiqua"/>
          <w:noProof/>
          <w:sz w:val="22"/>
          <w:szCs w:val="22"/>
        </w:rPr>
      </w:pPr>
      <w:r w:rsidRPr="00017A7A">
        <w:rPr>
          <w:rFonts w:ascii="Book Antiqua" w:hAnsi="Book Antiqua"/>
          <w:b/>
          <w:bCs/>
          <w:sz w:val="22"/>
          <w:szCs w:val="22"/>
        </w:rPr>
        <w:t xml:space="preserve">Application: </w:t>
      </w:r>
      <w:r w:rsidR="001B7002" w:rsidRPr="00017A7A">
        <w:rPr>
          <w:rFonts w:ascii="Book Antiqua" w:hAnsi="Book Antiqua"/>
          <w:sz w:val="22"/>
          <w:szCs w:val="22"/>
        </w:rPr>
        <w:t xml:space="preserve">Variance request to allow a 5-unit planned unit development (PUD) on less than the minimum requirement of  2.5 acres and to allow less than 50% open space as required by ordinance.  </w:t>
      </w:r>
    </w:p>
    <w:p w:rsidR="00BF4FC4" w:rsidRPr="00017A7A" w:rsidRDefault="00BF4FC4" w:rsidP="002858B1">
      <w:pPr>
        <w:tabs>
          <w:tab w:val="left" w:pos="1560"/>
        </w:tabs>
        <w:spacing w:before="120"/>
        <w:ind w:left="1440" w:hanging="1440"/>
        <w:jc w:val="both"/>
        <w:rPr>
          <w:rFonts w:ascii="Book Antiqua" w:hAnsi="Book Antiqua"/>
          <w:noProof/>
          <w:sz w:val="22"/>
          <w:szCs w:val="22"/>
        </w:rPr>
      </w:pPr>
      <w:r w:rsidRPr="00017A7A">
        <w:rPr>
          <w:rFonts w:ascii="Book Antiqua" w:hAnsi="Book Antiqua"/>
          <w:b/>
          <w:sz w:val="22"/>
          <w:szCs w:val="22"/>
        </w:rPr>
        <w:t>Applicant:</w:t>
      </w:r>
      <w:r w:rsidRPr="00017A7A">
        <w:rPr>
          <w:rFonts w:ascii="Book Antiqua" w:hAnsi="Book Antiqua"/>
          <w:sz w:val="22"/>
          <w:szCs w:val="22"/>
        </w:rPr>
        <w:tab/>
      </w:r>
      <w:r w:rsidR="001B7002" w:rsidRPr="00017A7A">
        <w:rPr>
          <w:rFonts w:ascii="Book Antiqua" w:hAnsi="Book Antiqua"/>
          <w:noProof/>
          <w:sz w:val="22"/>
          <w:szCs w:val="22"/>
        </w:rPr>
        <w:t>Robert</w:t>
      </w:r>
      <w:r w:rsidRPr="00017A7A">
        <w:rPr>
          <w:rFonts w:ascii="Book Antiqua" w:hAnsi="Book Antiqua"/>
          <w:sz w:val="22"/>
          <w:szCs w:val="22"/>
        </w:rPr>
        <w:t xml:space="preserve"> </w:t>
      </w:r>
      <w:r w:rsidRPr="00017A7A">
        <w:rPr>
          <w:rFonts w:ascii="Book Antiqua" w:hAnsi="Book Antiqua"/>
          <w:noProof/>
          <w:sz w:val="22"/>
          <w:szCs w:val="22"/>
        </w:rPr>
        <w:t>Bugher</w:t>
      </w:r>
    </w:p>
    <w:p w:rsidR="001B7002" w:rsidRPr="00017A7A" w:rsidRDefault="001B7002" w:rsidP="002858B1">
      <w:pPr>
        <w:tabs>
          <w:tab w:val="left" w:pos="1560"/>
        </w:tabs>
        <w:spacing w:before="120"/>
        <w:ind w:left="1440" w:hanging="1440"/>
        <w:jc w:val="both"/>
        <w:rPr>
          <w:rFonts w:ascii="Book Antiqua" w:hAnsi="Book Antiqua"/>
          <w:sz w:val="22"/>
          <w:szCs w:val="22"/>
        </w:rPr>
      </w:pPr>
      <w:r w:rsidRPr="00017A7A">
        <w:rPr>
          <w:rFonts w:ascii="Book Antiqua" w:hAnsi="Book Antiqua"/>
          <w:b/>
          <w:sz w:val="22"/>
          <w:szCs w:val="22"/>
        </w:rPr>
        <w:t>Owner:</w:t>
      </w:r>
      <w:r w:rsidRPr="00017A7A">
        <w:rPr>
          <w:rFonts w:ascii="Book Antiqua" w:hAnsi="Book Antiqua"/>
          <w:sz w:val="22"/>
          <w:szCs w:val="22"/>
        </w:rPr>
        <w:t xml:space="preserve"> </w:t>
      </w:r>
      <w:r w:rsidRPr="00017A7A">
        <w:rPr>
          <w:rFonts w:ascii="Book Antiqua" w:hAnsi="Book Antiqua"/>
          <w:sz w:val="22"/>
          <w:szCs w:val="22"/>
        </w:rPr>
        <w:tab/>
        <w:t>Highpoint Homes and Alexandria Homes, Inc.</w:t>
      </w:r>
    </w:p>
    <w:p w:rsidR="00BF4FC4" w:rsidRPr="00017A7A" w:rsidRDefault="00BF4FC4" w:rsidP="000932B7">
      <w:pPr>
        <w:tabs>
          <w:tab w:val="left" w:pos="1560"/>
        </w:tabs>
        <w:spacing w:before="120"/>
        <w:ind w:left="1440" w:hanging="1440"/>
        <w:jc w:val="both"/>
        <w:rPr>
          <w:rFonts w:ascii="Book Antiqua" w:hAnsi="Book Antiqua"/>
          <w:sz w:val="22"/>
          <w:szCs w:val="22"/>
        </w:rPr>
      </w:pPr>
      <w:r w:rsidRPr="00017A7A">
        <w:rPr>
          <w:rFonts w:ascii="Book Antiqua" w:hAnsi="Book Antiqua"/>
          <w:b/>
          <w:sz w:val="22"/>
          <w:szCs w:val="22"/>
        </w:rPr>
        <w:t>Agenda Item:</w:t>
      </w:r>
      <w:r w:rsidRPr="00017A7A">
        <w:rPr>
          <w:rFonts w:ascii="Book Antiqua" w:hAnsi="Book Antiqua"/>
          <w:b/>
          <w:sz w:val="22"/>
          <w:szCs w:val="22"/>
        </w:rPr>
        <w:tab/>
      </w:r>
      <w:r w:rsidRPr="00017A7A">
        <w:rPr>
          <w:rFonts w:ascii="Book Antiqua" w:hAnsi="Book Antiqua"/>
          <w:sz w:val="22"/>
          <w:szCs w:val="22"/>
        </w:rPr>
        <w:t>4(</w:t>
      </w:r>
      <w:r w:rsidR="004F5850" w:rsidRPr="00017A7A">
        <w:rPr>
          <w:rFonts w:ascii="Book Antiqua" w:hAnsi="Book Antiqua"/>
          <w:sz w:val="22"/>
          <w:szCs w:val="22"/>
        </w:rPr>
        <w:t>a</w:t>
      </w:r>
      <w:r w:rsidRPr="00017A7A">
        <w:rPr>
          <w:rFonts w:ascii="Book Antiqua" w:hAnsi="Book Antiqua"/>
          <w:sz w:val="22"/>
          <w:szCs w:val="22"/>
        </w:rPr>
        <w:t>)</w:t>
      </w:r>
    </w:p>
    <w:p w:rsidR="00BF4FC4" w:rsidRPr="00017A7A" w:rsidRDefault="00BF4FC4" w:rsidP="000932B7">
      <w:pPr>
        <w:jc w:val="both"/>
        <w:rPr>
          <w:rFonts w:ascii="Book Antiqua" w:hAnsi="Book Antiqua"/>
          <w:b/>
          <w:sz w:val="22"/>
          <w:szCs w:val="22"/>
        </w:rPr>
      </w:pPr>
    </w:p>
    <w:p w:rsidR="00BF4FC4" w:rsidRPr="00017A7A" w:rsidRDefault="00BF4FC4" w:rsidP="000932B7">
      <w:pPr>
        <w:pBdr>
          <w:top w:val="single" w:sz="4" w:space="1" w:color="auto"/>
        </w:pBdr>
        <w:jc w:val="both"/>
        <w:rPr>
          <w:rFonts w:ascii="Book Antiqua" w:hAnsi="Book Antiqua"/>
          <w:b/>
          <w:sz w:val="22"/>
          <w:szCs w:val="22"/>
        </w:rPr>
      </w:pPr>
      <w:r w:rsidRPr="00017A7A">
        <w:rPr>
          <w:rFonts w:ascii="Book Antiqua" w:hAnsi="Book Antiqua"/>
          <w:b/>
          <w:sz w:val="22"/>
          <w:szCs w:val="22"/>
        </w:rPr>
        <w:t xml:space="preserve">Background Information: </w:t>
      </w:r>
    </w:p>
    <w:p w:rsidR="003B3E30" w:rsidRPr="00017A7A" w:rsidRDefault="00BF4FC4" w:rsidP="00620923">
      <w:pPr>
        <w:numPr>
          <w:ilvl w:val="0"/>
          <w:numId w:val="2"/>
        </w:numPr>
        <w:spacing w:before="120"/>
        <w:jc w:val="both"/>
        <w:rPr>
          <w:rFonts w:ascii="Book Antiqua" w:eastAsia="Calibri" w:hAnsi="Book Antiqua"/>
          <w:color w:val="000000"/>
          <w:sz w:val="22"/>
          <w:szCs w:val="22"/>
        </w:rPr>
      </w:pPr>
      <w:r w:rsidRPr="00017A7A">
        <w:rPr>
          <w:rFonts w:ascii="Book Antiqua" w:hAnsi="Book Antiqua"/>
          <w:b/>
          <w:sz w:val="22"/>
          <w:szCs w:val="22"/>
        </w:rPr>
        <w:t>Proposal:</w:t>
      </w:r>
      <w:r w:rsidRPr="00017A7A">
        <w:rPr>
          <w:rFonts w:ascii="Book Antiqua" w:hAnsi="Book Antiqua"/>
          <w:sz w:val="22"/>
          <w:szCs w:val="22"/>
        </w:rPr>
        <w:t xml:space="preserve"> The applicants are proposing </w:t>
      </w:r>
      <w:r w:rsidR="001B7002" w:rsidRPr="00017A7A">
        <w:rPr>
          <w:rFonts w:ascii="Book Antiqua" w:hAnsi="Book Antiqua"/>
          <w:sz w:val="22"/>
          <w:szCs w:val="22"/>
        </w:rPr>
        <w:t xml:space="preserve">to create a planned unit development (PUD) </w:t>
      </w:r>
      <w:r w:rsidR="00BD136A" w:rsidRPr="00017A7A">
        <w:rPr>
          <w:rFonts w:ascii="Book Antiqua" w:hAnsi="Book Antiqua"/>
          <w:sz w:val="22"/>
          <w:szCs w:val="22"/>
        </w:rPr>
        <w:t xml:space="preserve">to </w:t>
      </w:r>
      <w:r w:rsidR="00566E1A" w:rsidRPr="00017A7A">
        <w:rPr>
          <w:rFonts w:ascii="Book Antiqua" w:hAnsi="Book Antiqua"/>
          <w:sz w:val="22"/>
          <w:szCs w:val="22"/>
        </w:rPr>
        <w:t>include</w:t>
      </w:r>
      <w:r w:rsidR="00BD136A" w:rsidRPr="00017A7A">
        <w:rPr>
          <w:rFonts w:ascii="Book Antiqua" w:hAnsi="Book Antiqua"/>
          <w:sz w:val="22"/>
          <w:szCs w:val="22"/>
        </w:rPr>
        <w:t xml:space="preserve"> five detached single family units</w:t>
      </w:r>
      <w:r w:rsidR="001B7002" w:rsidRPr="00017A7A">
        <w:rPr>
          <w:rFonts w:ascii="Book Antiqua" w:hAnsi="Book Antiqua"/>
          <w:sz w:val="22"/>
          <w:szCs w:val="22"/>
        </w:rPr>
        <w:t xml:space="preserve"> on what are currently four previously platted lots intended for one single-family unit each. The PUD would be located on a total of </w:t>
      </w:r>
      <w:r w:rsidR="008A4445" w:rsidRPr="00017A7A">
        <w:rPr>
          <w:rFonts w:ascii="Book Antiqua" w:hAnsi="Book Antiqua"/>
          <w:sz w:val="22"/>
          <w:szCs w:val="22"/>
        </w:rPr>
        <w:t>1.64 acres</w:t>
      </w:r>
      <w:r w:rsidR="001B7002" w:rsidRPr="00017A7A">
        <w:rPr>
          <w:rFonts w:ascii="Book Antiqua" w:hAnsi="Book Antiqua"/>
          <w:sz w:val="22"/>
          <w:szCs w:val="22"/>
        </w:rPr>
        <w:t>,</w:t>
      </w:r>
      <w:r w:rsidR="00CD2699" w:rsidRPr="00017A7A">
        <w:rPr>
          <w:rFonts w:ascii="Book Antiqua" w:hAnsi="Book Antiqua"/>
          <w:sz w:val="22"/>
          <w:szCs w:val="22"/>
        </w:rPr>
        <w:t xml:space="preserve"> which is less than the 2.5 acre </w:t>
      </w:r>
      <w:r w:rsidR="00566E1A" w:rsidRPr="00017A7A">
        <w:rPr>
          <w:rFonts w:ascii="Book Antiqua" w:hAnsi="Book Antiqua"/>
          <w:sz w:val="22"/>
          <w:szCs w:val="22"/>
        </w:rPr>
        <w:t xml:space="preserve">minimum </w:t>
      </w:r>
      <w:r w:rsidR="00CD2699" w:rsidRPr="00017A7A">
        <w:rPr>
          <w:rFonts w:ascii="Book Antiqua" w:hAnsi="Book Antiqua"/>
          <w:sz w:val="22"/>
          <w:szCs w:val="22"/>
        </w:rPr>
        <w:t xml:space="preserve">required by ordinance </w:t>
      </w:r>
      <w:r w:rsidR="00566E1A" w:rsidRPr="00017A7A">
        <w:rPr>
          <w:rFonts w:ascii="Book Antiqua" w:hAnsi="Book Antiqua"/>
          <w:sz w:val="22"/>
          <w:szCs w:val="22"/>
        </w:rPr>
        <w:t>for a PUD</w:t>
      </w:r>
      <w:r w:rsidR="00CD2699" w:rsidRPr="00017A7A">
        <w:rPr>
          <w:rFonts w:ascii="Book Antiqua" w:hAnsi="Book Antiqua"/>
          <w:sz w:val="22"/>
          <w:szCs w:val="22"/>
        </w:rPr>
        <w:t xml:space="preserve">. </w:t>
      </w:r>
    </w:p>
    <w:p w:rsidR="001B7002" w:rsidRPr="00017A7A" w:rsidRDefault="001B7002" w:rsidP="001B7002">
      <w:pPr>
        <w:spacing w:before="120"/>
        <w:ind w:left="360"/>
        <w:jc w:val="both"/>
        <w:rPr>
          <w:rFonts w:ascii="Book Antiqua" w:hAnsi="Book Antiqua"/>
          <w:sz w:val="22"/>
          <w:szCs w:val="22"/>
        </w:rPr>
      </w:pPr>
      <w:r w:rsidRPr="00017A7A">
        <w:rPr>
          <w:rFonts w:ascii="Book Antiqua" w:hAnsi="Book Antiqua"/>
          <w:sz w:val="22"/>
          <w:szCs w:val="22"/>
        </w:rPr>
        <w:t>A second variance is requested regarding the amount of "open space" required by ordinance. The proposal would result in approximately 29% open space, where 50% is required.</w:t>
      </w:r>
    </w:p>
    <w:p w:rsidR="001B7002" w:rsidRPr="00017A7A" w:rsidRDefault="001B7002" w:rsidP="001B7002">
      <w:pPr>
        <w:spacing w:before="120"/>
        <w:ind w:left="360"/>
        <w:jc w:val="both"/>
        <w:rPr>
          <w:rFonts w:ascii="Book Antiqua" w:hAnsi="Book Antiqua"/>
          <w:sz w:val="22"/>
          <w:szCs w:val="22"/>
        </w:rPr>
      </w:pPr>
      <w:r w:rsidRPr="00017A7A">
        <w:rPr>
          <w:rFonts w:ascii="Book Antiqua" w:hAnsi="Book Antiqua"/>
          <w:sz w:val="22"/>
          <w:szCs w:val="22"/>
        </w:rPr>
        <w:t>All other requirements related to impervious coverage, setbacks to the roads and adjacent residential areas</w:t>
      </w:r>
      <w:r w:rsidR="00535E94" w:rsidRPr="00017A7A">
        <w:rPr>
          <w:rFonts w:ascii="Book Antiqua" w:hAnsi="Book Antiqua"/>
          <w:sz w:val="22"/>
          <w:szCs w:val="22"/>
        </w:rPr>
        <w:t xml:space="preserve">, </w:t>
      </w:r>
      <w:r w:rsidR="00516D2E" w:rsidRPr="00017A7A">
        <w:rPr>
          <w:rFonts w:ascii="Book Antiqua" w:hAnsi="Book Antiqua"/>
          <w:sz w:val="22"/>
          <w:szCs w:val="22"/>
        </w:rPr>
        <w:t xml:space="preserve">and </w:t>
      </w:r>
      <w:r w:rsidR="00535E94" w:rsidRPr="00017A7A">
        <w:rPr>
          <w:rFonts w:ascii="Book Antiqua" w:hAnsi="Book Antiqua"/>
          <w:sz w:val="22"/>
          <w:szCs w:val="22"/>
        </w:rPr>
        <w:t xml:space="preserve">the number of </w:t>
      </w:r>
      <w:r w:rsidR="00516D2E" w:rsidRPr="00017A7A">
        <w:rPr>
          <w:rFonts w:ascii="Book Antiqua" w:hAnsi="Book Antiqua"/>
          <w:sz w:val="22"/>
          <w:szCs w:val="22"/>
        </w:rPr>
        <w:t>dwelling units allowed are met by the proposed development.</w:t>
      </w:r>
    </w:p>
    <w:p w:rsidR="00BF4FC4" w:rsidRPr="00017A7A" w:rsidRDefault="00BF4FC4" w:rsidP="001C1FC1">
      <w:pPr>
        <w:numPr>
          <w:ilvl w:val="0"/>
          <w:numId w:val="2"/>
        </w:numPr>
        <w:spacing w:before="120"/>
        <w:jc w:val="both"/>
        <w:rPr>
          <w:rFonts w:ascii="Book Antiqua" w:hAnsi="Book Antiqua"/>
          <w:sz w:val="22"/>
          <w:szCs w:val="22"/>
        </w:rPr>
      </w:pPr>
      <w:r w:rsidRPr="00017A7A">
        <w:rPr>
          <w:rFonts w:ascii="Book Antiqua" w:hAnsi="Book Antiqua"/>
          <w:b/>
          <w:sz w:val="22"/>
          <w:szCs w:val="22"/>
        </w:rPr>
        <w:t>Location:</w:t>
      </w:r>
    </w:p>
    <w:p w:rsidR="00BF4FC4" w:rsidRPr="00017A7A" w:rsidRDefault="00BF4FC4" w:rsidP="009E1F49">
      <w:pPr>
        <w:numPr>
          <w:ilvl w:val="1"/>
          <w:numId w:val="2"/>
        </w:numPr>
        <w:rPr>
          <w:rFonts w:ascii="Book Antiqua" w:hAnsi="Book Antiqua"/>
          <w:sz w:val="22"/>
          <w:szCs w:val="22"/>
        </w:rPr>
      </w:pPr>
      <w:r w:rsidRPr="00017A7A">
        <w:rPr>
          <w:rFonts w:ascii="Book Antiqua" w:hAnsi="Book Antiqua"/>
          <w:sz w:val="22"/>
          <w:szCs w:val="22"/>
        </w:rPr>
        <w:t>Property address: None</w:t>
      </w:r>
    </w:p>
    <w:p w:rsidR="00BF4FC4" w:rsidRPr="00017A7A" w:rsidRDefault="00BF4FC4" w:rsidP="009E1F49">
      <w:pPr>
        <w:numPr>
          <w:ilvl w:val="1"/>
          <w:numId w:val="2"/>
        </w:numPr>
        <w:rPr>
          <w:rFonts w:ascii="Book Antiqua" w:hAnsi="Book Antiqua"/>
          <w:sz w:val="22"/>
          <w:szCs w:val="22"/>
        </w:rPr>
      </w:pPr>
      <w:r w:rsidRPr="00017A7A">
        <w:rPr>
          <w:rFonts w:ascii="Book Antiqua" w:hAnsi="Book Antiqua"/>
          <w:sz w:val="22"/>
          <w:szCs w:val="22"/>
        </w:rPr>
        <w:t xml:space="preserve">Sec/Twp/Range: </w:t>
      </w:r>
      <w:r w:rsidRPr="00017A7A">
        <w:rPr>
          <w:rFonts w:ascii="Book Antiqua" w:hAnsi="Book Antiqua"/>
          <w:noProof/>
          <w:sz w:val="22"/>
          <w:szCs w:val="22"/>
        </w:rPr>
        <w:t>3</w:t>
      </w:r>
      <w:r w:rsidRPr="00017A7A">
        <w:rPr>
          <w:rFonts w:ascii="Book Antiqua" w:hAnsi="Book Antiqua"/>
          <w:sz w:val="22"/>
          <w:szCs w:val="22"/>
        </w:rPr>
        <w:t>-</w:t>
      </w:r>
      <w:r w:rsidRPr="00017A7A">
        <w:rPr>
          <w:rFonts w:ascii="Book Antiqua" w:hAnsi="Book Antiqua"/>
          <w:noProof/>
          <w:sz w:val="22"/>
          <w:szCs w:val="22"/>
        </w:rPr>
        <w:t>128</w:t>
      </w:r>
      <w:r w:rsidRPr="00017A7A">
        <w:rPr>
          <w:rFonts w:ascii="Book Antiqua" w:hAnsi="Book Antiqua"/>
          <w:sz w:val="22"/>
          <w:szCs w:val="22"/>
        </w:rPr>
        <w:t>-</w:t>
      </w:r>
      <w:r w:rsidRPr="00017A7A">
        <w:rPr>
          <w:rFonts w:ascii="Book Antiqua" w:hAnsi="Book Antiqua"/>
          <w:noProof/>
          <w:sz w:val="22"/>
          <w:szCs w:val="22"/>
        </w:rPr>
        <w:t>37</w:t>
      </w:r>
    </w:p>
    <w:p w:rsidR="00BF4FC4" w:rsidRPr="00017A7A" w:rsidRDefault="00BF4FC4" w:rsidP="009E1F49">
      <w:pPr>
        <w:numPr>
          <w:ilvl w:val="1"/>
          <w:numId w:val="2"/>
        </w:numPr>
        <w:rPr>
          <w:rFonts w:ascii="Book Antiqua" w:hAnsi="Book Antiqua"/>
          <w:sz w:val="22"/>
          <w:szCs w:val="22"/>
        </w:rPr>
      </w:pPr>
      <w:r w:rsidRPr="00017A7A">
        <w:rPr>
          <w:rFonts w:ascii="Book Antiqua" w:hAnsi="Book Antiqua"/>
          <w:sz w:val="22"/>
          <w:szCs w:val="22"/>
        </w:rPr>
        <w:t xml:space="preserve">Parcel number(s): </w:t>
      </w:r>
      <w:r w:rsidRPr="00017A7A">
        <w:rPr>
          <w:rFonts w:ascii="Book Antiqua" w:hAnsi="Book Antiqua"/>
          <w:noProof/>
          <w:sz w:val="22"/>
          <w:szCs w:val="22"/>
        </w:rPr>
        <w:t>03-0200-1</w:t>
      </w:r>
      <w:r w:rsidR="003B3E30" w:rsidRPr="00017A7A">
        <w:rPr>
          <w:rFonts w:ascii="Book Antiqua" w:hAnsi="Book Antiqua"/>
          <w:noProof/>
          <w:sz w:val="22"/>
          <w:szCs w:val="22"/>
        </w:rPr>
        <w:t xml:space="preserve">40, 03-0200-135, 03-0200-130, </w:t>
      </w:r>
      <w:r w:rsidR="00516D2E" w:rsidRPr="00017A7A">
        <w:rPr>
          <w:rFonts w:ascii="Book Antiqua" w:hAnsi="Book Antiqua"/>
          <w:noProof/>
          <w:sz w:val="22"/>
          <w:szCs w:val="22"/>
        </w:rPr>
        <w:t xml:space="preserve">and </w:t>
      </w:r>
      <w:r w:rsidR="003B3E30" w:rsidRPr="00017A7A">
        <w:rPr>
          <w:rFonts w:ascii="Book Antiqua" w:hAnsi="Book Antiqua"/>
          <w:noProof/>
          <w:sz w:val="22"/>
          <w:szCs w:val="22"/>
        </w:rPr>
        <w:t>03-0200-125</w:t>
      </w:r>
    </w:p>
    <w:p w:rsidR="00BF4FC4" w:rsidRPr="00017A7A" w:rsidRDefault="00BF4FC4" w:rsidP="000932B7">
      <w:pPr>
        <w:numPr>
          <w:ilvl w:val="0"/>
          <w:numId w:val="2"/>
        </w:numPr>
        <w:spacing w:before="120"/>
        <w:jc w:val="both"/>
        <w:rPr>
          <w:rFonts w:ascii="Book Antiqua" w:hAnsi="Book Antiqua"/>
          <w:sz w:val="22"/>
          <w:szCs w:val="22"/>
        </w:rPr>
      </w:pPr>
      <w:r w:rsidRPr="00017A7A">
        <w:rPr>
          <w:rFonts w:ascii="Book Antiqua" w:hAnsi="Book Antiqua"/>
          <w:b/>
          <w:sz w:val="22"/>
          <w:szCs w:val="22"/>
        </w:rPr>
        <w:t>Zoning:</w:t>
      </w:r>
      <w:r w:rsidRPr="00017A7A">
        <w:rPr>
          <w:rFonts w:ascii="Book Antiqua" w:hAnsi="Book Antiqua"/>
          <w:sz w:val="22"/>
          <w:szCs w:val="22"/>
        </w:rPr>
        <w:t xml:space="preserve"> Urban Residential (UR)</w:t>
      </w:r>
    </w:p>
    <w:p w:rsidR="00BF4FC4" w:rsidRPr="00017A7A" w:rsidRDefault="00BF4FC4" w:rsidP="00D41F99">
      <w:pPr>
        <w:numPr>
          <w:ilvl w:val="0"/>
          <w:numId w:val="2"/>
        </w:numPr>
        <w:spacing w:before="120"/>
        <w:jc w:val="both"/>
        <w:rPr>
          <w:rFonts w:ascii="Book Antiqua" w:hAnsi="Book Antiqua"/>
          <w:sz w:val="22"/>
          <w:szCs w:val="22"/>
        </w:rPr>
      </w:pPr>
      <w:r w:rsidRPr="00017A7A">
        <w:rPr>
          <w:rFonts w:ascii="Book Antiqua" w:hAnsi="Book Antiqua"/>
          <w:b/>
          <w:sz w:val="22"/>
          <w:szCs w:val="22"/>
        </w:rPr>
        <w:t>Lot size:</w:t>
      </w:r>
      <w:r w:rsidRPr="00017A7A">
        <w:rPr>
          <w:rFonts w:ascii="Book Antiqua" w:hAnsi="Book Antiqua"/>
          <w:sz w:val="22"/>
          <w:szCs w:val="22"/>
        </w:rPr>
        <w:t xml:space="preserve"> Approx. </w:t>
      </w:r>
      <w:r w:rsidR="00CD2699" w:rsidRPr="00017A7A">
        <w:rPr>
          <w:rFonts w:ascii="Book Antiqua" w:hAnsi="Book Antiqua"/>
          <w:sz w:val="22"/>
          <w:szCs w:val="22"/>
        </w:rPr>
        <w:t>1.64</w:t>
      </w:r>
      <w:r w:rsidRPr="00017A7A">
        <w:rPr>
          <w:rFonts w:ascii="Book Antiqua" w:hAnsi="Book Antiqua"/>
          <w:sz w:val="22"/>
          <w:szCs w:val="22"/>
        </w:rPr>
        <w:t xml:space="preserve"> acres</w:t>
      </w:r>
      <w:r w:rsidR="00563671" w:rsidRPr="00017A7A">
        <w:rPr>
          <w:rFonts w:ascii="Book Antiqua" w:hAnsi="Book Antiqua"/>
          <w:sz w:val="22"/>
          <w:szCs w:val="22"/>
        </w:rPr>
        <w:t xml:space="preserve"> </w:t>
      </w:r>
      <w:r w:rsidRPr="00017A7A">
        <w:rPr>
          <w:rFonts w:ascii="Book Antiqua" w:hAnsi="Book Antiqua"/>
          <w:sz w:val="22"/>
          <w:szCs w:val="22"/>
        </w:rPr>
        <w:t>according to provided survey</w:t>
      </w:r>
    </w:p>
    <w:p w:rsidR="00516D2E" w:rsidRPr="00017A7A" w:rsidRDefault="00BF4FC4" w:rsidP="005F7698">
      <w:pPr>
        <w:spacing w:before="120"/>
        <w:ind w:left="720"/>
        <w:jc w:val="both"/>
        <w:rPr>
          <w:rFonts w:ascii="Book Antiqua" w:hAnsi="Book Antiqua"/>
          <w:sz w:val="22"/>
          <w:szCs w:val="22"/>
        </w:rPr>
      </w:pPr>
      <w:r w:rsidRPr="00017A7A">
        <w:rPr>
          <w:rFonts w:ascii="Book Antiqua" w:hAnsi="Book Antiqua"/>
          <w:sz w:val="22"/>
          <w:szCs w:val="22"/>
          <w:u w:val="single"/>
        </w:rPr>
        <w:t>Existing Impervious Coverage:</w:t>
      </w:r>
      <w:r w:rsidRPr="00017A7A">
        <w:rPr>
          <w:rFonts w:ascii="Book Antiqua" w:hAnsi="Book Antiqua"/>
          <w:sz w:val="22"/>
          <w:szCs w:val="22"/>
        </w:rPr>
        <w:t xml:space="preserve"> </w:t>
      </w:r>
    </w:p>
    <w:p w:rsidR="00BF4FC4" w:rsidRPr="00017A7A" w:rsidRDefault="00563671" w:rsidP="00516D2E">
      <w:pPr>
        <w:numPr>
          <w:ilvl w:val="0"/>
          <w:numId w:val="43"/>
        </w:numPr>
        <w:spacing w:before="120"/>
        <w:jc w:val="both"/>
        <w:rPr>
          <w:rFonts w:ascii="Book Antiqua" w:hAnsi="Book Antiqua"/>
          <w:sz w:val="22"/>
          <w:szCs w:val="22"/>
        </w:rPr>
      </w:pPr>
      <w:r w:rsidRPr="00017A7A">
        <w:rPr>
          <w:rFonts w:ascii="Book Antiqua" w:hAnsi="Book Antiqua"/>
          <w:sz w:val="22"/>
          <w:szCs w:val="22"/>
        </w:rPr>
        <w:t>None</w:t>
      </w:r>
    </w:p>
    <w:p w:rsidR="00BF4FC4" w:rsidRPr="00017A7A" w:rsidRDefault="00BF4FC4" w:rsidP="00F73845">
      <w:pPr>
        <w:spacing w:before="120"/>
        <w:ind w:left="720"/>
        <w:jc w:val="both"/>
        <w:rPr>
          <w:rFonts w:ascii="Book Antiqua" w:hAnsi="Book Antiqua"/>
          <w:sz w:val="22"/>
          <w:szCs w:val="22"/>
          <w:u w:val="single"/>
        </w:rPr>
      </w:pPr>
      <w:r w:rsidRPr="00017A7A">
        <w:rPr>
          <w:rFonts w:ascii="Book Antiqua" w:hAnsi="Book Antiqua"/>
          <w:sz w:val="22"/>
          <w:szCs w:val="22"/>
          <w:u w:val="single"/>
        </w:rPr>
        <w:t>Proposed Impervious Coverage:</w:t>
      </w:r>
      <w:r w:rsidRPr="00017A7A">
        <w:rPr>
          <w:rFonts w:ascii="Book Antiqua" w:hAnsi="Book Antiqua"/>
          <w:sz w:val="22"/>
          <w:szCs w:val="22"/>
        </w:rPr>
        <w:t xml:space="preserve"> </w:t>
      </w:r>
    </w:p>
    <w:p w:rsidR="00BF4FC4" w:rsidRPr="00017A7A" w:rsidRDefault="00BF4FC4" w:rsidP="003B3E30">
      <w:pPr>
        <w:numPr>
          <w:ilvl w:val="1"/>
          <w:numId w:val="27"/>
        </w:numPr>
        <w:spacing w:before="120"/>
        <w:jc w:val="both"/>
        <w:rPr>
          <w:rFonts w:ascii="Book Antiqua" w:hAnsi="Book Antiqua"/>
          <w:sz w:val="22"/>
          <w:szCs w:val="22"/>
        </w:rPr>
      </w:pPr>
      <w:r w:rsidRPr="00017A7A">
        <w:rPr>
          <w:rFonts w:ascii="Book Antiqua" w:hAnsi="Book Antiqua"/>
          <w:sz w:val="22"/>
          <w:szCs w:val="22"/>
          <w:u w:val="single"/>
        </w:rPr>
        <w:t>Buildings</w:t>
      </w:r>
      <w:r w:rsidR="003B3E30" w:rsidRPr="00017A7A">
        <w:rPr>
          <w:rFonts w:ascii="Book Antiqua" w:hAnsi="Book Antiqua"/>
          <w:sz w:val="22"/>
          <w:szCs w:val="22"/>
          <w:u w:val="single"/>
        </w:rPr>
        <w:t xml:space="preserve"> and driveways on lots</w:t>
      </w:r>
      <w:r w:rsidRPr="00017A7A">
        <w:rPr>
          <w:rFonts w:ascii="Book Antiqua" w:hAnsi="Book Antiqua"/>
          <w:sz w:val="22"/>
          <w:szCs w:val="22"/>
          <w:u w:val="single"/>
        </w:rPr>
        <w:t>:</w:t>
      </w:r>
      <w:r w:rsidRPr="00017A7A">
        <w:rPr>
          <w:rFonts w:ascii="Book Antiqua" w:hAnsi="Book Antiqua"/>
          <w:sz w:val="22"/>
          <w:szCs w:val="22"/>
        </w:rPr>
        <w:t xml:space="preserve"> About 1</w:t>
      </w:r>
      <w:r w:rsidR="005F7698" w:rsidRPr="00017A7A">
        <w:rPr>
          <w:rFonts w:ascii="Book Antiqua" w:hAnsi="Book Antiqua"/>
          <w:sz w:val="22"/>
          <w:szCs w:val="22"/>
        </w:rPr>
        <w:t>6,146</w:t>
      </w:r>
      <w:r w:rsidRPr="00017A7A">
        <w:rPr>
          <w:rFonts w:ascii="Book Antiqua" w:hAnsi="Book Antiqua"/>
          <w:sz w:val="22"/>
          <w:szCs w:val="22"/>
        </w:rPr>
        <w:t xml:space="preserve"> sq ft (</w:t>
      </w:r>
      <w:r w:rsidR="005F7698" w:rsidRPr="00017A7A">
        <w:rPr>
          <w:rFonts w:ascii="Book Antiqua" w:hAnsi="Book Antiqua"/>
          <w:sz w:val="22"/>
          <w:szCs w:val="22"/>
        </w:rPr>
        <w:t>23.08</w:t>
      </w:r>
      <w:r w:rsidRPr="00017A7A">
        <w:rPr>
          <w:rFonts w:ascii="Book Antiqua" w:hAnsi="Book Antiqua"/>
          <w:sz w:val="22"/>
          <w:szCs w:val="22"/>
        </w:rPr>
        <w:t>%)</w:t>
      </w:r>
    </w:p>
    <w:p w:rsidR="005F7698" w:rsidRPr="00017A7A" w:rsidRDefault="00BF4FC4" w:rsidP="000932B7">
      <w:pPr>
        <w:numPr>
          <w:ilvl w:val="0"/>
          <w:numId w:val="2"/>
        </w:numPr>
        <w:spacing w:before="120"/>
        <w:jc w:val="both"/>
        <w:rPr>
          <w:rFonts w:ascii="Book Antiqua" w:hAnsi="Book Antiqua"/>
          <w:sz w:val="22"/>
          <w:szCs w:val="22"/>
        </w:rPr>
      </w:pPr>
      <w:r w:rsidRPr="00017A7A">
        <w:rPr>
          <w:rFonts w:ascii="Book Antiqua" w:hAnsi="Book Antiqua"/>
          <w:b/>
          <w:sz w:val="22"/>
          <w:szCs w:val="22"/>
        </w:rPr>
        <w:t xml:space="preserve">Septic System Status: </w:t>
      </w:r>
      <w:r w:rsidRPr="00017A7A">
        <w:rPr>
          <w:rFonts w:ascii="Book Antiqua" w:hAnsi="Book Antiqua"/>
          <w:sz w:val="22"/>
          <w:szCs w:val="22"/>
        </w:rPr>
        <w:t xml:space="preserve">The property is served by </w:t>
      </w:r>
      <w:r w:rsidR="00563671" w:rsidRPr="00017A7A">
        <w:rPr>
          <w:rFonts w:ascii="Book Antiqua" w:hAnsi="Book Antiqua"/>
          <w:sz w:val="22"/>
          <w:szCs w:val="22"/>
        </w:rPr>
        <w:t>ALASD</w:t>
      </w:r>
      <w:r w:rsidR="00516D2E" w:rsidRPr="00017A7A">
        <w:rPr>
          <w:rFonts w:ascii="Book Antiqua" w:hAnsi="Book Antiqua"/>
          <w:sz w:val="22"/>
          <w:szCs w:val="22"/>
        </w:rPr>
        <w:t xml:space="preserve"> sewer</w:t>
      </w:r>
      <w:r w:rsidR="00563671" w:rsidRPr="00017A7A">
        <w:rPr>
          <w:rFonts w:ascii="Book Antiqua" w:hAnsi="Book Antiqua"/>
          <w:sz w:val="22"/>
          <w:szCs w:val="22"/>
        </w:rPr>
        <w:t>.</w:t>
      </w:r>
    </w:p>
    <w:p w:rsidR="00BF4FC4" w:rsidRPr="00017A7A" w:rsidRDefault="00BF4FC4" w:rsidP="000932B7">
      <w:pPr>
        <w:numPr>
          <w:ilvl w:val="0"/>
          <w:numId w:val="2"/>
        </w:numPr>
        <w:spacing w:before="120"/>
        <w:jc w:val="both"/>
        <w:rPr>
          <w:rFonts w:ascii="Book Antiqua" w:hAnsi="Book Antiqua"/>
          <w:sz w:val="22"/>
          <w:szCs w:val="22"/>
        </w:rPr>
      </w:pPr>
      <w:r w:rsidRPr="00017A7A">
        <w:rPr>
          <w:rFonts w:ascii="Book Antiqua" w:hAnsi="Book Antiqua"/>
          <w:b/>
          <w:sz w:val="22"/>
          <w:szCs w:val="22"/>
        </w:rPr>
        <w:t>Natural Features:</w:t>
      </w:r>
      <w:r w:rsidR="003B3E30" w:rsidRPr="00017A7A">
        <w:rPr>
          <w:rFonts w:ascii="Book Antiqua" w:hAnsi="Book Antiqua"/>
          <w:b/>
          <w:sz w:val="22"/>
          <w:szCs w:val="22"/>
        </w:rPr>
        <w:t xml:space="preserve">  </w:t>
      </w:r>
      <w:r w:rsidR="00FB5247" w:rsidRPr="00017A7A">
        <w:rPr>
          <w:rFonts w:ascii="Book Antiqua" w:hAnsi="Book Antiqua"/>
          <w:sz w:val="22"/>
          <w:szCs w:val="22"/>
        </w:rPr>
        <w:t xml:space="preserve">There are no significant natural features. </w:t>
      </w:r>
    </w:p>
    <w:p w:rsidR="00BF4FC4" w:rsidRPr="00017A7A" w:rsidRDefault="00BF4FC4" w:rsidP="00105FD3">
      <w:pPr>
        <w:numPr>
          <w:ilvl w:val="0"/>
          <w:numId w:val="2"/>
        </w:numPr>
        <w:spacing w:before="120"/>
        <w:jc w:val="both"/>
        <w:rPr>
          <w:rFonts w:ascii="Book Antiqua" w:hAnsi="Book Antiqua"/>
          <w:sz w:val="22"/>
          <w:szCs w:val="22"/>
        </w:rPr>
      </w:pPr>
      <w:r w:rsidRPr="00017A7A">
        <w:rPr>
          <w:rFonts w:ascii="Book Antiqua" w:hAnsi="Book Antiqua"/>
          <w:b/>
          <w:sz w:val="22"/>
          <w:szCs w:val="22"/>
        </w:rPr>
        <w:t>Permit History:</w:t>
      </w:r>
      <w:r w:rsidR="00FB5247" w:rsidRPr="00017A7A">
        <w:rPr>
          <w:rFonts w:ascii="Book Antiqua" w:hAnsi="Book Antiqua"/>
          <w:b/>
          <w:sz w:val="22"/>
          <w:szCs w:val="22"/>
        </w:rPr>
        <w:t xml:space="preserve">  </w:t>
      </w:r>
      <w:r w:rsidR="00FB5247" w:rsidRPr="00017A7A">
        <w:rPr>
          <w:rFonts w:ascii="Book Antiqua" w:hAnsi="Book Antiqua"/>
          <w:sz w:val="22"/>
          <w:szCs w:val="22"/>
        </w:rPr>
        <w:t>The original plat of Le Homme Dieu Estates was approved in 1998.</w:t>
      </w:r>
    </w:p>
    <w:p w:rsidR="00BF4FC4" w:rsidRPr="00017A7A" w:rsidRDefault="00BF4FC4" w:rsidP="00A23739">
      <w:pPr>
        <w:spacing w:before="120"/>
        <w:ind w:left="1440"/>
        <w:jc w:val="both"/>
        <w:rPr>
          <w:rFonts w:ascii="Book Antiqua" w:hAnsi="Book Antiqua"/>
          <w:sz w:val="22"/>
          <w:szCs w:val="22"/>
        </w:rPr>
      </w:pPr>
    </w:p>
    <w:p w:rsidR="00017A7A" w:rsidRPr="00017A7A" w:rsidRDefault="00017A7A" w:rsidP="00A23739">
      <w:pPr>
        <w:spacing w:before="120"/>
        <w:ind w:left="1440"/>
        <w:jc w:val="both"/>
        <w:rPr>
          <w:rFonts w:ascii="Book Antiqua" w:hAnsi="Book Antiqua"/>
          <w:sz w:val="22"/>
          <w:szCs w:val="22"/>
        </w:rPr>
      </w:pPr>
    </w:p>
    <w:p w:rsidR="00017A7A" w:rsidRPr="00017A7A" w:rsidRDefault="00017A7A" w:rsidP="00A23739">
      <w:pPr>
        <w:spacing w:before="120"/>
        <w:ind w:left="1440"/>
        <w:jc w:val="both"/>
        <w:rPr>
          <w:rFonts w:ascii="Book Antiqua" w:hAnsi="Book Antiqua"/>
          <w:sz w:val="22"/>
          <w:szCs w:val="22"/>
        </w:rPr>
      </w:pPr>
    </w:p>
    <w:p w:rsidR="00BF4FC4" w:rsidRPr="00017A7A" w:rsidRDefault="00BF4FC4" w:rsidP="000932B7">
      <w:pPr>
        <w:pBdr>
          <w:top w:val="single" w:sz="4" w:space="1" w:color="auto"/>
        </w:pBdr>
        <w:jc w:val="both"/>
        <w:rPr>
          <w:rFonts w:ascii="Book Antiqua" w:hAnsi="Book Antiqua"/>
          <w:b/>
          <w:sz w:val="22"/>
          <w:szCs w:val="22"/>
        </w:rPr>
      </w:pPr>
      <w:r w:rsidRPr="00017A7A">
        <w:rPr>
          <w:rFonts w:ascii="Book Antiqua" w:hAnsi="Book Antiqua"/>
          <w:b/>
          <w:sz w:val="22"/>
          <w:szCs w:val="22"/>
        </w:rPr>
        <w:t xml:space="preserve">Applicable Statutes/Ordinances: </w:t>
      </w:r>
    </w:p>
    <w:p w:rsidR="00BF4FC4" w:rsidRPr="00017A7A" w:rsidRDefault="00BF4FC4" w:rsidP="000932B7">
      <w:pPr>
        <w:pStyle w:val="HTMLPreformatted"/>
        <w:jc w:val="both"/>
        <w:rPr>
          <w:rFonts w:ascii="Book Antiqua" w:hAnsi="Book Antiqua"/>
          <w:sz w:val="22"/>
          <w:szCs w:val="22"/>
        </w:rPr>
      </w:pPr>
    </w:p>
    <w:p w:rsidR="00BF4FC4" w:rsidRPr="00017A7A" w:rsidRDefault="00BF4FC4" w:rsidP="000932B7">
      <w:pPr>
        <w:shd w:val="clear" w:color="auto" w:fill="FFFFFF"/>
        <w:outlineLvl w:val="2"/>
        <w:rPr>
          <w:rFonts w:ascii="Book Antiqua" w:hAnsi="Book Antiqua" w:cs="Arial"/>
          <w:b/>
          <w:sz w:val="22"/>
          <w:szCs w:val="22"/>
          <w:u w:val="single"/>
        </w:rPr>
      </w:pPr>
      <w:r w:rsidRPr="00017A7A">
        <w:rPr>
          <w:rFonts w:ascii="Book Antiqua" w:hAnsi="Book Antiqua" w:cs="Arial"/>
          <w:b/>
          <w:sz w:val="22"/>
          <w:szCs w:val="22"/>
          <w:u w:val="single"/>
        </w:rPr>
        <w:t>Minnesota Statutes</w:t>
      </w:r>
    </w:p>
    <w:p w:rsidR="00BF4FC4" w:rsidRPr="00017A7A" w:rsidRDefault="00FB5247" w:rsidP="000932B7">
      <w:pPr>
        <w:shd w:val="clear" w:color="auto" w:fill="FFFFFF"/>
        <w:spacing w:line="288" w:lineRule="atLeast"/>
        <w:ind w:left="480"/>
        <w:outlineLvl w:val="2"/>
        <w:rPr>
          <w:rFonts w:ascii="Book Antiqua" w:hAnsi="Book Antiqua"/>
          <w:spacing w:val="5"/>
          <w:sz w:val="22"/>
          <w:szCs w:val="22"/>
        </w:rPr>
      </w:pPr>
      <w:r w:rsidRPr="00017A7A">
        <w:rPr>
          <w:rFonts w:ascii="Book Antiqua" w:hAnsi="Book Antiqua"/>
          <w:spacing w:val="5"/>
          <w:sz w:val="22"/>
          <w:szCs w:val="22"/>
        </w:rPr>
        <w:t xml:space="preserve"> </w:t>
      </w:r>
    </w:p>
    <w:p w:rsidR="00BF4FC4" w:rsidRPr="00017A7A" w:rsidRDefault="00BF4FC4" w:rsidP="000932B7">
      <w:pPr>
        <w:pBdr>
          <w:bottom w:val="single" w:sz="12" w:space="0" w:color="990033"/>
        </w:pBdr>
        <w:shd w:val="clear" w:color="auto" w:fill="FFFFFF"/>
        <w:spacing w:after="120" w:line="288" w:lineRule="atLeast"/>
        <w:outlineLvl w:val="1"/>
        <w:rPr>
          <w:rFonts w:ascii="Book Antiqua" w:hAnsi="Book Antiqua"/>
          <w:b/>
          <w:bCs/>
          <w:spacing w:val="5"/>
          <w:kern w:val="36"/>
          <w:sz w:val="22"/>
          <w:szCs w:val="22"/>
        </w:rPr>
      </w:pPr>
      <w:r w:rsidRPr="00017A7A">
        <w:rPr>
          <w:rFonts w:ascii="Book Antiqua" w:hAnsi="Book Antiqua"/>
          <w:b/>
          <w:bCs/>
          <w:spacing w:val="5"/>
          <w:kern w:val="36"/>
          <w:sz w:val="22"/>
          <w:szCs w:val="22"/>
        </w:rPr>
        <w:t>462.357 (2011) OFFICIAL CONTROLS: ZONING ORDINANCE.</w:t>
      </w:r>
    </w:p>
    <w:p w:rsidR="00BF4FC4" w:rsidRPr="00017A7A" w:rsidRDefault="00BF4FC4" w:rsidP="000932B7">
      <w:pPr>
        <w:shd w:val="clear" w:color="auto" w:fill="FFFFFF"/>
        <w:ind w:left="480"/>
        <w:outlineLvl w:val="2"/>
        <w:rPr>
          <w:rFonts w:ascii="Book Antiqua" w:hAnsi="Book Antiqua" w:cs="Courier New"/>
          <w:spacing w:val="5"/>
          <w:sz w:val="22"/>
          <w:szCs w:val="22"/>
        </w:rPr>
      </w:pPr>
      <w:r w:rsidRPr="00017A7A">
        <w:rPr>
          <w:rFonts w:ascii="Book Antiqua" w:hAnsi="Book Antiqua" w:cs="Courier New"/>
          <w:spacing w:val="5"/>
          <w:sz w:val="22"/>
          <w:szCs w:val="22"/>
        </w:rPr>
        <w:t xml:space="preserve">Subd. 6. </w:t>
      </w:r>
      <w:r w:rsidRPr="00017A7A">
        <w:rPr>
          <w:rStyle w:val="headnote2"/>
          <w:rFonts w:ascii="Book Antiqua" w:hAnsi="Book Antiqua" w:cs="Courier New"/>
          <w:spacing w:val="5"/>
          <w:sz w:val="22"/>
          <w:szCs w:val="22"/>
        </w:rPr>
        <w:t>Appeals and adjustments.</w:t>
      </w:r>
    </w:p>
    <w:p w:rsidR="00BF4FC4" w:rsidRPr="00017A7A" w:rsidRDefault="00BF4FC4" w:rsidP="000932B7">
      <w:pPr>
        <w:pStyle w:val="first1"/>
        <w:shd w:val="clear" w:color="auto" w:fill="FFFFFF"/>
        <w:spacing w:before="0" w:after="0" w:line="240" w:lineRule="auto"/>
        <w:rPr>
          <w:rFonts w:ascii="Book Antiqua" w:hAnsi="Book Antiqua" w:cs="Courier New"/>
          <w:sz w:val="22"/>
          <w:szCs w:val="22"/>
        </w:rPr>
      </w:pPr>
      <w:r w:rsidRPr="00017A7A">
        <w:rPr>
          <w:rFonts w:ascii="Book Antiqua" w:hAnsi="Book Antiqua" w:cs="Courier New"/>
          <w:sz w:val="22"/>
          <w:szCs w:val="22"/>
        </w:rPr>
        <w:t>Appeals to the board of appeals and adjustments may be taken by any affected person upon compliance with any reasonable conditions imposed by the zoning ordinance. The board of appeals and adjustments has the following powers with respect to the zoning ordinance:</w:t>
      </w:r>
    </w:p>
    <w:p w:rsidR="00BF4FC4" w:rsidRPr="00017A7A" w:rsidRDefault="00BF4FC4" w:rsidP="000932B7">
      <w:pPr>
        <w:shd w:val="clear" w:color="auto" w:fill="FFFFFF"/>
        <w:ind w:firstLine="480"/>
        <w:rPr>
          <w:rFonts w:ascii="Book Antiqua" w:hAnsi="Book Antiqua" w:cs="Courier New"/>
          <w:spacing w:val="7"/>
          <w:sz w:val="22"/>
          <w:szCs w:val="22"/>
        </w:rPr>
      </w:pPr>
      <w:r w:rsidRPr="00017A7A">
        <w:rPr>
          <w:rFonts w:ascii="Book Antiqua" w:hAnsi="Book Antiqua" w:cs="Courier New"/>
          <w:spacing w:val="7"/>
          <w:sz w:val="22"/>
          <w:szCs w:val="22"/>
        </w:rPr>
        <w:t>(1) To hear and decide appeals where it is alleged that there is an error in any order, requirement, decision, or determination made by an administrative officer in the enforcement of the zoning ordinance.</w:t>
      </w:r>
    </w:p>
    <w:p w:rsidR="00BF4FC4" w:rsidRPr="00017A7A" w:rsidRDefault="00BF4FC4" w:rsidP="000932B7">
      <w:pPr>
        <w:shd w:val="clear" w:color="auto" w:fill="FFFFFF"/>
        <w:ind w:firstLine="480"/>
        <w:rPr>
          <w:rFonts w:ascii="Book Antiqua" w:hAnsi="Book Antiqua" w:cs="Courier New"/>
          <w:spacing w:val="7"/>
          <w:sz w:val="22"/>
          <w:szCs w:val="22"/>
        </w:rPr>
      </w:pPr>
      <w:r w:rsidRPr="00017A7A">
        <w:rPr>
          <w:rFonts w:ascii="Book Antiqua" w:hAnsi="Book Antiqua" w:cs="Courier New"/>
          <w:spacing w:val="7"/>
          <w:sz w:val="22"/>
          <w:szCs w:val="22"/>
        </w:rPr>
        <w:t xml:space="preserve">(2) To hear requests for variances from the requirements of the zoning ordinance including restrictions placed on nonconformities. Variances shall only be permitted when they are in harmony with the general purposes and intent of the ordinance and when the variances are consistent with the comprehensive plan. Variances may be granted when the applicant for the variance establishes that there are practical difficulties in complying with the zoning ordinance. "Practical difficulties," as used in connection with the granting of a variance, means that the property owner proposes to use the property in a reasonable manner not permitted by the zoning ordinance; the plight of the landowner is due to circumstances unique to the property not created by the landowner; and the variance, if granted, will not alter the essential character of the locality. Economic considerations alone do not constitute practical difficulties. Practical difficulties include, but are not limited to, inadequate access to direct sunlight for solar energy systems. Variances shall be granted for earth sheltered construction as defined in section </w:t>
      </w:r>
      <w:hyperlink r:id="rId8" w:anchor="stat.216C.06.14" w:history="1">
        <w:r w:rsidRPr="00017A7A">
          <w:rPr>
            <w:rStyle w:val="Hyperlink"/>
            <w:rFonts w:ascii="Book Antiqua" w:hAnsi="Book Antiqua" w:cs="Courier New"/>
            <w:spacing w:val="7"/>
            <w:sz w:val="22"/>
            <w:szCs w:val="22"/>
          </w:rPr>
          <w:t>216C.06, subdivision 14</w:t>
        </w:r>
      </w:hyperlink>
      <w:r w:rsidRPr="00017A7A">
        <w:rPr>
          <w:rFonts w:ascii="Book Antiqua" w:hAnsi="Book Antiqua" w:cs="Courier New"/>
          <w:spacing w:val="7"/>
          <w:sz w:val="22"/>
          <w:szCs w:val="22"/>
        </w:rPr>
        <w:t xml:space="preserve">, when in harmony with the ordinance. The board of appeals and adjustments or the governing body as the case may be, may not permit as a variance any use that is not allowed under the zoning ordinance for property in the zone where the affected person's land is located. The board or governing body as the case may be, may permit as a variance the temporary use of a one family dwelling as a two family dwelling. The board or governing body as the case may be may impose conditions in the granting of variances. A condition must be directly related to and must bear a rough proportionality to the impact created by the variance. </w:t>
      </w:r>
    </w:p>
    <w:p w:rsidR="00BF4FC4" w:rsidRPr="00017A7A" w:rsidRDefault="00BF4FC4" w:rsidP="000932B7">
      <w:pPr>
        <w:pStyle w:val="first1"/>
        <w:shd w:val="clear" w:color="auto" w:fill="FFFFFF"/>
        <w:spacing w:before="0" w:after="0" w:line="240" w:lineRule="auto"/>
        <w:ind w:firstLine="475"/>
        <w:rPr>
          <w:rFonts w:ascii="Book Antiqua" w:hAnsi="Book Antiqua" w:cs="Courier New"/>
          <w:sz w:val="22"/>
          <w:szCs w:val="22"/>
        </w:rPr>
      </w:pPr>
      <w:r w:rsidRPr="00017A7A">
        <w:rPr>
          <w:rFonts w:ascii="Book Antiqua" w:hAnsi="Book Antiqua" w:cs="Courier New"/>
          <w:sz w:val="22"/>
          <w:szCs w:val="22"/>
        </w:rPr>
        <w:t xml:space="preserve"> </w:t>
      </w:r>
    </w:p>
    <w:p w:rsidR="00BF4FC4" w:rsidRPr="00017A7A" w:rsidRDefault="00BF4FC4" w:rsidP="00A50A16">
      <w:pPr>
        <w:tabs>
          <w:tab w:val="left" w:pos="-720"/>
          <w:tab w:val="left" w:pos="0"/>
          <w:tab w:val="left" w:pos="720"/>
          <w:tab w:val="left" w:pos="1440"/>
          <w:tab w:val="left" w:pos="2160"/>
          <w:tab w:val="left" w:pos="2880"/>
        </w:tabs>
        <w:spacing w:before="120"/>
        <w:jc w:val="both"/>
        <w:rPr>
          <w:rFonts w:ascii="Book Antiqua" w:hAnsi="Book Antiqua"/>
          <w:b/>
          <w:sz w:val="22"/>
          <w:szCs w:val="22"/>
          <w:u w:val="single"/>
        </w:rPr>
      </w:pPr>
      <w:r w:rsidRPr="00017A7A">
        <w:rPr>
          <w:rFonts w:ascii="Book Antiqua" w:hAnsi="Book Antiqua"/>
          <w:b/>
          <w:sz w:val="22"/>
          <w:szCs w:val="22"/>
          <w:u w:val="single"/>
        </w:rPr>
        <w:t>Alexandria Township/Douglas County Regulations</w:t>
      </w:r>
    </w:p>
    <w:p w:rsidR="00BF4FC4" w:rsidRPr="00017A7A" w:rsidRDefault="00BF4FC4" w:rsidP="00F716F3">
      <w:pPr>
        <w:pStyle w:val="ALXTZoningOrdinanceHeading2"/>
        <w:spacing w:before="120"/>
        <w:rPr>
          <w:rFonts w:ascii="Book Antiqua" w:hAnsi="Book Antiqua"/>
          <w:sz w:val="22"/>
          <w:szCs w:val="22"/>
        </w:rPr>
      </w:pPr>
      <w:r w:rsidRPr="00017A7A">
        <w:rPr>
          <w:rFonts w:ascii="Book Antiqua" w:hAnsi="Book Antiqua"/>
          <w:sz w:val="22"/>
          <w:szCs w:val="22"/>
        </w:rPr>
        <w:t>I.</w:t>
      </w:r>
      <w:r w:rsidRPr="00017A7A">
        <w:rPr>
          <w:rFonts w:ascii="Book Antiqua" w:hAnsi="Book Antiqua"/>
          <w:sz w:val="22"/>
          <w:szCs w:val="22"/>
        </w:rPr>
        <w:tab/>
        <w:t>VARIANCES.</w:t>
      </w:r>
    </w:p>
    <w:p w:rsidR="00BF4FC4" w:rsidRPr="00017A7A" w:rsidRDefault="00BF4FC4" w:rsidP="00F716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jc w:val="both"/>
        <w:rPr>
          <w:rFonts w:ascii="Book Antiqua" w:hAnsi="Book Antiqua"/>
          <w:sz w:val="22"/>
          <w:szCs w:val="22"/>
          <w:u w:val="single"/>
        </w:rPr>
      </w:pPr>
      <w:r w:rsidRPr="00017A7A">
        <w:rPr>
          <w:rFonts w:ascii="Book Antiqua" w:hAnsi="Book Antiqua"/>
          <w:sz w:val="22"/>
          <w:szCs w:val="22"/>
        </w:rPr>
        <w:t>1.</w:t>
      </w:r>
      <w:r w:rsidRPr="00017A7A">
        <w:rPr>
          <w:rFonts w:ascii="Book Antiqua" w:hAnsi="Book Antiqua"/>
          <w:sz w:val="22"/>
          <w:szCs w:val="22"/>
        </w:rPr>
        <w:tab/>
      </w:r>
      <w:r w:rsidRPr="00017A7A">
        <w:rPr>
          <w:rFonts w:ascii="Book Antiqua" w:hAnsi="Book Antiqua"/>
          <w:sz w:val="22"/>
          <w:szCs w:val="22"/>
          <w:u w:val="single"/>
        </w:rPr>
        <w:t>Criteria for Granting of Variances.</w:t>
      </w:r>
    </w:p>
    <w:p w:rsidR="00BF4FC4" w:rsidRPr="00017A7A" w:rsidRDefault="00BF4FC4" w:rsidP="00F716F3">
      <w:pPr>
        <w:pStyle w:val="BodyTextIndent3"/>
        <w:spacing w:before="120" w:after="0"/>
        <w:ind w:left="1440"/>
        <w:rPr>
          <w:rFonts w:ascii="Book Antiqua" w:hAnsi="Book Antiqua"/>
          <w:sz w:val="22"/>
          <w:szCs w:val="22"/>
        </w:rPr>
      </w:pPr>
      <w:r w:rsidRPr="00017A7A">
        <w:rPr>
          <w:rFonts w:ascii="Book Antiqua" w:hAnsi="Book Antiqua"/>
          <w:sz w:val="22"/>
          <w:szCs w:val="22"/>
        </w:rPr>
        <w:t>a.</w:t>
      </w:r>
      <w:r w:rsidRPr="00017A7A">
        <w:rPr>
          <w:rFonts w:ascii="Book Antiqua" w:hAnsi="Book Antiqua"/>
          <w:sz w:val="22"/>
          <w:szCs w:val="22"/>
        </w:rPr>
        <w:tab/>
        <w:t>The Board of Adjustment shall have the exclusive power to order the granting of variances from the terms of this Ordinance, including restrictions placed on nonconformities.  Variances shall only be permitted when the following criteria have been met, as determined by the Board of Adjustment:</w:t>
      </w:r>
    </w:p>
    <w:p w:rsidR="00BF4FC4" w:rsidRPr="00017A7A" w:rsidRDefault="00BF4FC4" w:rsidP="00F716F3">
      <w:pPr>
        <w:pStyle w:val="BodyTextIndent3"/>
        <w:spacing w:before="120" w:after="0"/>
        <w:ind w:left="2160" w:hanging="1440"/>
        <w:rPr>
          <w:rFonts w:ascii="Book Antiqua" w:hAnsi="Book Antiqua"/>
          <w:sz w:val="22"/>
          <w:szCs w:val="22"/>
        </w:rPr>
      </w:pPr>
      <w:r w:rsidRPr="00017A7A">
        <w:rPr>
          <w:rFonts w:ascii="Book Antiqua" w:hAnsi="Book Antiqua"/>
          <w:sz w:val="22"/>
          <w:szCs w:val="22"/>
        </w:rPr>
        <w:tab/>
        <w:t>i.</w:t>
      </w:r>
      <w:r w:rsidRPr="00017A7A">
        <w:rPr>
          <w:rFonts w:ascii="Book Antiqua" w:hAnsi="Book Antiqua"/>
          <w:sz w:val="22"/>
          <w:szCs w:val="22"/>
        </w:rPr>
        <w:tab/>
        <w:t>Variances shall only be permitted when they are in harmony with the general purposes and intent of the ordinance and when the variances are consistent with the comprehensive plan.</w:t>
      </w:r>
    </w:p>
    <w:p w:rsidR="00BF4FC4" w:rsidRPr="00017A7A" w:rsidRDefault="00BF4FC4" w:rsidP="00F716F3">
      <w:pPr>
        <w:pStyle w:val="BodyTextIndent3"/>
        <w:spacing w:before="120" w:after="0"/>
        <w:ind w:left="2160"/>
        <w:rPr>
          <w:rFonts w:ascii="Book Antiqua" w:hAnsi="Book Antiqua"/>
          <w:sz w:val="22"/>
          <w:szCs w:val="22"/>
        </w:rPr>
      </w:pPr>
      <w:r w:rsidRPr="00017A7A">
        <w:rPr>
          <w:rFonts w:ascii="Book Antiqua" w:hAnsi="Book Antiqua"/>
          <w:sz w:val="22"/>
          <w:szCs w:val="22"/>
        </w:rPr>
        <w:t>ii.</w:t>
      </w:r>
      <w:r w:rsidRPr="00017A7A">
        <w:rPr>
          <w:rFonts w:ascii="Book Antiqua" w:hAnsi="Book Antiqua"/>
          <w:sz w:val="22"/>
          <w:szCs w:val="22"/>
        </w:rPr>
        <w:tab/>
        <w:t>Variances may be granted when the applicant for the variance establishes that there are practical difficulties in complying with the zoning ordinance.</w:t>
      </w:r>
    </w:p>
    <w:p w:rsidR="00BF4FC4" w:rsidRPr="00017A7A" w:rsidRDefault="00BF4FC4" w:rsidP="00F716F3">
      <w:pPr>
        <w:pStyle w:val="BodyTextIndent3"/>
        <w:spacing w:before="120" w:after="0"/>
        <w:ind w:left="2160"/>
        <w:rPr>
          <w:rFonts w:ascii="Book Antiqua" w:hAnsi="Book Antiqua"/>
          <w:sz w:val="22"/>
          <w:szCs w:val="22"/>
        </w:rPr>
      </w:pPr>
      <w:r w:rsidRPr="00017A7A">
        <w:rPr>
          <w:rFonts w:ascii="Book Antiqua" w:hAnsi="Book Antiqua"/>
          <w:sz w:val="22"/>
          <w:szCs w:val="22"/>
        </w:rPr>
        <w:t>iii.</w:t>
      </w:r>
      <w:r w:rsidRPr="00017A7A">
        <w:rPr>
          <w:rFonts w:ascii="Book Antiqua" w:hAnsi="Book Antiqua"/>
          <w:sz w:val="22"/>
          <w:szCs w:val="22"/>
        </w:rPr>
        <w:tab/>
        <w:t>"Practical difficulties," as used in connection with the granting of a variance, means that the property owner proposes to use the property in a reasonable manner not permitted by the zoning ordinance; the plight of the landowner is due to circumstances unique to the property not created by the landowner</w:t>
      </w:r>
      <w:r w:rsidRPr="00017A7A">
        <w:rPr>
          <w:rFonts w:ascii="Book Antiqua" w:hAnsi="Book Antiqua"/>
          <w:strike/>
          <w:sz w:val="22"/>
          <w:szCs w:val="22"/>
        </w:rPr>
        <w:t>,</w:t>
      </w:r>
      <w:r w:rsidRPr="00017A7A">
        <w:rPr>
          <w:rFonts w:ascii="Book Antiqua" w:hAnsi="Book Antiqua"/>
          <w:sz w:val="22"/>
          <w:szCs w:val="22"/>
        </w:rPr>
        <w:t>; and the variance, if granted, will not alter the essential character of the locality.</w:t>
      </w:r>
    </w:p>
    <w:p w:rsidR="00BF4FC4" w:rsidRPr="00017A7A" w:rsidRDefault="00BF4FC4" w:rsidP="00F716F3">
      <w:pPr>
        <w:pStyle w:val="BodyTextIndent3"/>
        <w:spacing w:before="120" w:after="0"/>
        <w:ind w:left="2160"/>
        <w:rPr>
          <w:rFonts w:ascii="Book Antiqua" w:hAnsi="Book Antiqua"/>
          <w:sz w:val="22"/>
          <w:szCs w:val="22"/>
        </w:rPr>
      </w:pPr>
      <w:r w:rsidRPr="00017A7A">
        <w:rPr>
          <w:rFonts w:ascii="Book Antiqua" w:hAnsi="Book Antiqua"/>
          <w:sz w:val="22"/>
          <w:szCs w:val="22"/>
        </w:rPr>
        <w:t>iv.</w:t>
      </w:r>
      <w:r w:rsidRPr="00017A7A">
        <w:rPr>
          <w:rFonts w:ascii="Book Antiqua" w:hAnsi="Book Antiqua"/>
          <w:sz w:val="22"/>
          <w:szCs w:val="22"/>
        </w:rPr>
        <w:tab/>
        <w:t>Economic considerations alone do not constitute practical difficulties.</w:t>
      </w:r>
    </w:p>
    <w:p w:rsidR="00BF4FC4" w:rsidRPr="00017A7A" w:rsidRDefault="00BF4FC4" w:rsidP="00F716F3">
      <w:pPr>
        <w:pStyle w:val="BodyTextIndent3"/>
        <w:spacing w:before="120" w:after="0"/>
        <w:ind w:left="2160"/>
        <w:rPr>
          <w:rFonts w:ascii="Book Antiqua" w:hAnsi="Book Antiqua"/>
          <w:sz w:val="22"/>
          <w:szCs w:val="22"/>
        </w:rPr>
      </w:pPr>
      <w:r w:rsidRPr="00017A7A">
        <w:rPr>
          <w:rFonts w:ascii="Book Antiqua" w:hAnsi="Book Antiqua"/>
          <w:sz w:val="22"/>
          <w:szCs w:val="22"/>
        </w:rPr>
        <w:t>v.</w:t>
      </w:r>
      <w:r w:rsidRPr="00017A7A">
        <w:rPr>
          <w:rFonts w:ascii="Book Antiqua" w:hAnsi="Book Antiqua"/>
          <w:sz w:val="22"/>
          <w:szCs w:val="22"/>
        </w:rPr>
        <w:tab/>
        <w:t>A variance may not permit any use that is not allowed under the zoning ordinance for property in the zone where the affected person's land is located.</w:t>
      </w:r>
    </w:p>
    <w:p w:rsidR="00BF4FC4" w:rsidRPr="00017A7A" w:rsidRDefault="00BF4FC4" w:rsidP="00F716F3">
      <w:pPr>
        <w:pStyle w:val="BodyTextIndent3"/>
        <w:spacing w:before="120" w:after="0"/>
        <w:ind w:left="2160"/>
        <w:rPr>
          <w:rFonts w:ascii="Book Antiqua" w:hAnsi="Book Antiqua"/>
          <w:sz w:val="22"/>
          <w:szCs w:val="22"/>
        </w:rPr>
      </w:pPr>
      <w:r w:rsidRPr="00017A7A">
        <w:rPr>
          <w:rFonts w:ascii="Book Antiqua" w:hAnsi="Book Antiqua"/>
          <w:sz w:val="22"/>
          <w:szCs w:val="22"/>
        </w:rPr>
        <w:t>vi.</w:t>
      </w:r>
      <w:r w:rsidRPr="00017A7A">
        <w:rPr>
          <w:rFonts w:ascii="Book Antiqua" w:hAnsi="Book Antiqua"/>
          <w:sz w:val="22"/>
          <w:szCs w:val="22"/>
        </w:rPr>
        <w:tab/>
        <w:t>The Township may impose conditions in the granting of variances provided it is directly related to and bears a rough proportionality to the impact created by the variance.</w:t>
      </w:r>
    </w:p>
    <w:p w:rsidR="00BF4FC4" w:rsidRPr="00017A7A" w:rsidRDefault="00BF4FC4" w:rsidP="00F716F3">
      <w:pPr>
        <w:tabs>
          <w:tab w:val="left" w:pos="-720"/>
          <w:tab w:val="left" w:pos="0"/>
          <w:tab w:val="left" w:pos="720"/>
          <w:tab w:val="left" w:pos="1440"/>
          <w:tab w:val="left" w:pos="2160"/>
          <w:tab w:val="left" w:pos="2880"/>
        </w:tabs>
        <w:spacing w:before="120"/>
        <w:ind w:left="2160"/>
        <w:jc w:val="both"/>
        <w:rPr>
          <w:rFonts w:ascii="Book Antiqua" w:hAnsi="Book Antiqua"/>
          <w:sz w:val="22"/>
          <w:szCs w:val="22"/>
        </w:rPr>
      </w:pPr>
      <w:r w:rsidRPr="00017A7A">
        <w:rPr>
          <w:rFonts w:ascii="Book Antiqua" w:hAnsi="Book Antiqua"/>
          <w:sz w:val="22"/>
          <w:szCs w:val="22"/>
        </w:rPr>
        <w:t>vii.</w:t>
      </w:r>
      <w:r w:rsidRPr="00017A7A">
        <w:rPr>
          <w:rFonts w:ascii="Book Antiqua" w:hAnsi="Book Antiqua"/>
          <w:sz w:val="22"/>
          <w:szCs w:val="22"/>
        </w:rPr>
        <w:tab/>
        <w:t>Variances shall be issued to the property and are not transferable.</w:t>
      </w:r>
    </w:p>
    <w:p w:rsidR="00BF4FC4" w:rsidRPr="00017A7A" w:rsidRDefault="00BF4FC4" w:rsidP="008A4445">
      <w:pPr>
        <w:pStyle w:val="Heading2"/>
        <w:rPr>
          <w:rFonts w:ascii="Book Antiqua" w:hAnsi="Book Antiqua"/>
        </w:rPr>
      </w:pPr>
    </w:p>
    <w:p w:rsidR="00BF4FC4" w:rsidRPr="00017A7A" w:rsidRDefault="00BF4FC4" w:rsidP="00F716F3">
      <w:pPr>
        <w:widowControl w:val="0"/>
        <w:pBdr>
          <w:top w:val="single" w:sz="4" w:space="1" w:color="auto"/>
        </w:pBdr>
        <w:spacing w:before="120"/>
        <w:jc w:val="both"/>
        <w:rPr>
          <w:rFonts w:ascii="Book Antiqua" w:hAnsi="Book Antiqua"/>
          <w:b/>
          <w:sz w:val="22"/>
          <w:szCs w:val="22"/>
          <w:u w:val="single"/>
        </w:rPr>
      </w:pPr>
      <w:bookmarkStart w:id="0" w:name="_Hlk506463146"/>
      <w:r w:rsidRPr="00017A7A">
        <w:rPr>
          <w:rFonts w:ascii="Book Antiqua" w:hAnsi="Book Antiqua"/>
          <w:b/>
          <w:sz w:val="22"/>
          <w:szCs w:val="22"/>
          <w:u w:val="single"/>
        </w:rPr>
        <w:t>ALEXANDRIA TOWNSHIP COMPREHENSIVE PLAN</w:t>
      </w:r>
    </w:p>
    <w:bookmarkEnd w:id="0"/>
    <w:p w:rsidR="001832E7" w:rsidRPr="00017A7A" w:rsidRDefault="00BF4FC4" w:rsidP="003B0B6F">
      <w:pPr>
        <w:autoSpaceDE w:val="0"/>
        <w:autoSpaceDN w:val="0"/>
        <w:adjustRightInd w:val="0"/>
        <w:spacing w:before="120"/>
        <w:rPr>
          <w:rFonts w:ascii="Book Antiqua" w:hAnsi="Book Antiqua"/>
          <w:b/>
          <w:sz w:val="22"/>
          <w:szCs w:val="22"/>
        </w:rPr>
      </w:pPr>
      <w:r w:rsidRPr="00017A7A">
        <w:rPr>
          <w:rFonts w:ascii="Book Antiqua" w:hAnsi="Book Antiqua"/>
          <w:b/>
          <w:sz w:val="22"/>
          <w:szCs w:val="22"/>
        </w:rPr>
        <w:t>Goals &amp; Policies - Land Use</w:t>
      </w:r>
    </w:p>
    <w:p w:rsidR="005E2CBA" w:rsidRPr="00017A7A" w:rsidRDefault="00516D2E" w:rsidP="003B0B6F">
      <w:pPr>
        <w:autoSpaceDE w:val="0"/>
        <w:autoSpaceDN w:val="0"/>
        <w:adjustRightInd w:val="0"/>
        <w:spacing w:before="120"/>
        <w:rPr>
          <w:rFonts w:ascii="Book Antiqua" w:hAnsi="Book Antiqua"/>
          <w:sz w:val="22"/>
          <w:szCs w:val="22"/>
        </w:rPr>
      </w:pPr>
      <w:r w:rsidRPr="00017A7A">
        <w:rPr>
          <w:rFonts w:ascii="Book Antiqua" w:hAnsi="Book Antiqua"/>
          <w:sz w:val="22"/>
          <w:szCs w:val="22"/>
        </w:rPr>
        <w:t xml:space="preserve">The property is identified in the Alexandria Township </w:t>
      </w:r>
      <w:r w:rsidR="005E2CBA" w:rsidRPr="00017A7A">
        <w:rPr>
          <w:rFonts w:ascii="Book Antiqua" w:hAnsi="Book Antiqua"/>
          <w:sz w:val="22"/>
          <w:szCs w:val="22"/>
        </w:rPr>
        <w:t>Comprehensive Plan's Future Land Use Map as "Urban Residential." The purpose of this category is as follows:</w:t>
      </w:r>
    </w:p>
    <w:p w:rsidR="003B0B6F" w:rsidRPr="00017A7A" w:rsidRDefault="003B0B6F" w:rsidP="005E2CBA">
      <w:pPr>
        <w:autoSpaceDE w:val="0"/>
        <w:autoSpaceDN w:val="0"/>
        <w:adjustRightInd w:val="0"/>
        <w:spacing w:before="120"/>
        <w:ind w:left="720"/>
        <w:rPr>
          <w:rFonts w:ascii="Book Antiqua" w:hAnsi="Book Antiqua"/>
          <w:b/>
          <w:sz w:val="22"/>
          <w:szCs w:val="22"/>
        </w:rPr>
      </w:pPr>
      <w:r w:rsidRPr="00017A7A">
        <w:rPr>
          <w:rFonts w:ascii="Book Antiqua" w:hAnsi="Book Antiqua"/>
          <w:b/>
          <w:sz w:val="22"/>
          <w:szCs w:val="22"/>
          <w:u w:val="single"/>
        </w:rPr>
        <w:t>Urban Residential</w:t>
      </w:r>
    </w:p>
    <w:p w:rsidR="001832E7" w:rsidRPr="00017A7A" w:rsidRDefault="001832E7" w:rsidP="005E2CBA">
      <w:pPr>
        <w:tabs>
          <w:tab w:val="left" w:pos="5940"/>
        </w:tabs>
        <w:ind w:left="720"/>
        <w:jc w:val="both"/>
        <w:rPr>
          <w:rFonts w:ascii="Book Antiqua" w:hAnsi="Book Antiqua"/>
          <w:sz w:val="22"/>
          <w:szCs w:val="22"/>
        </w:rPr>
      </w:pPr>
      <w:r w:rsidRPr="00017A7A">
        <w:rPr>
          <w:rFonts w:ascii="Book Antiqua" w:hAnsi="Book Antiqua"/>
          <w:sz w:val="22"/>
          <w:szCs w:val="22"/>
        </w:rPr>
        <w:t>The purpose of this land use category is to provide opportunities for urban density housing in areas that are most readily served by urban infrastructure and services. This category is intended for areas that are currently served by Alexandria Area Sanitary Sewer District (ALASD) infrastructure or are within the identified future service area of ALASD. Within these areas, new residential development will be reviewed to ensure that the proposed density, dimensions, and layout of lots will allow for the efficient use of public infrastructure and the cost-effective provision of public services. A gross urban density of two to three dwelling units per acre or higher is intended for these areas. Proposed subdivisions that would create oversized lots would be reviewed to allow for a transition to urban densities of housing in an orderly and efficient manner. This may be accomplished through ghost platting, conservation subdivision designs that cluster homes on urban-sized lots, provision of urban sewer or road infrastructure at the time of development, or by other appropriate means.</w:t>
      </w:r>
    </w:p>
    <w:p w:rsidR="001832E7" w:rsidRPr="00017A7A" w:rsidRDefault="001832E7" w:rsidP="005E2CBA">
      <w:pPr>
        <w:tabs>
          <w:tab w:val="left" w:pos="5940"/>
        </w:tabs>
        <w:ind w:left="720"/>
        <w:jc w:val="both"/>
        <w:rPr>
          <w:rFonts w:ascii="Book Antiqua" w:hAnsi="Book Antiqua"/>
          <w:sz w:val="22"/>
          <w:szCs w:val="22"/>
        </w:rPr>
      </w:pPr>
    </w:p>
    <w:p w:rsidR="001832E7" w:rsidRPr="00017A7A" w:rsidRDefault="001832E7" w:rsidP="005E2CBA">
      <w:pPr>
        <w:tabs>
          <w:tab w:val="left" w:pos="5940"/>
        </w:tabs>
        <w:ind w:left="720"/>
        <w:jc w:val="both"/>
        <w:rPr>
          <w:rFonts w:ascii="Book Antiqua" w:hAnsi="Book Antiqua"/>
          <w:sz w:val="22"/>
          <w:szCs w:val="22"/>
        </w:rPr>
      </w:pPr>
      <w:r w:rsidRPr="00017A7A">
        <w:rPr>
          <w:rFonts w:ascii="Book Antiqua" w:hAnsi="Book Antiqua"/>
          <w:sz w:val="22"/>
          <w:szCs w:val="22"/>
        </w:rPr>
        <w:t>Typical “lot-block” or “conservation” subdivision designs are both considered appropriate in these areas. Where sensitive or unique natural or cultural resources, such as wetlands, shoreland, etc. are present, a conservation subdivision design with lower densities that protects these resources may be required. Long-term commercial/industrial uses that are incompatible with residential uses should not be allowed in this district.</w:t>
      </w:r>
    </w:p>
    <w:p w:rsidR="001832E7" w:rsidRPr="00017A7A" w:rsidRDefault="001832E7" w:rsidP="001832E7">
      <w:pPr>
        <w:tabs>
          <w:tab w:val="left" w:pos="5940"/>
        </w:tabs>
        <w:ind w:left="360"/>
        <w:jc w:val="both"/>
        <w:rPr>
          <w:rFonts w:ascii="Book Antiqua" w:hAnsi="Book Antiqua"/>
          <w:sz w:val="22"/>
          <w:szCs w:val="22"/>
        </w:rPr>
      </w:pPr>
    </w:p>
    <w:p w:rsidR="001832E7" w:rsidRPr="00017A7A" w:rsidRDefault="001832E7" w:rsidP="001832E7">
      <w:pPr>
        <w:tabs>
          <w:tab w:val="left" w:pos="5940"/>
        </w:tabs>
        <w:jc w:val="both"/>
        <w:rPr>
          <w:rFonts w:ascii="Book Antiqua" w:hAnsi="Book Antiqua"/>
          <w:sz w:val="22"/>
          <w:szCs w:val="22"/>
        </w:rPr>
      </w:pPr>
    </w:p>
    <w:p w:rsidR="00BF4FC4" w:rsidRPr="00017A7A" w:rsidRDefault="003B0B6F" w:rsidP="003B0B6F">
      <w:pPr>
        <w:widowControl w:val="0"/>
        <w:pBdr>
          <w:top w:val="single" w:sz="4" w:space="1" w:color="auto"/>
        </w:pBdr>
        <w:spacing w:before="120"/>
        <w:jc w:val="both"/>
        <w:rPr>
          <w:rFonts w:ascii="Book Antiqua" w:hAnsi="Book Antiqua"/>
          <w:b/>
          <w:sz w:val="22"/>
          <w:szCs w:val="22"/>
          <w:u w:val="single"/>
        </w:rPr>
      </w:pPr>
      <w:r w:rsidRPr="00017A7A">
        <w:rPr>
          <w:rFonts w:ascii="Book Antiqua" w:hAnsi="Book Antiqua"/>
          <w:b/>
          <w:sz w:val="22"/>
          <w:szCs w:val="22"/>
          <w:u w:val="single"/>
        </w:rPr>
        <w:t>ALEXANDRIA TOWNSHIP ZONING ORDINANCE</w:t>
      </w:r>
    </w:p>
    <w:p w:rsidR="00BF4FC4" w:rsidRPr="00017A7A" w:rsidRDefault="00BF4FC4" w:rsidP="00F716F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Book Antiqua" w:hAnsi="Book Antiqua"/>
          <w:b/>
          <w:sz w:val="22"/>
          <w:szCs w:val="22"/>
        </w:rPr>
      </w:pPr>
    </w:p>
    <w:p w:rsidR="005E2CBA" w:rsidRPr="00017A7A" w:rsidRDefault="005E2CBA" w:rsidP="005E2CBA">
      <w:pPr>
        <w:pStyle w:val="ALXTZoningOrdinanceHeading1"/>
        <w:rPr>
          <w:rFonts w:ascii="Book Antiqua" w:hAnsi="Book Antiqua"/>
          <w:sz w:val="22"/>
          <w:szCs w:val="22"/>
        </w:rPr>
      </w:pPr>
      <w:r w:rsidRPr="00017A7A">
        <w:rPr>
          <w:rFonts w:ascii="Book Antiqua" w:hAnsi="Book Antiqua"/>
          <w:sz w:val="22"/>
          <w:szCs w:val="22"/>
        </w:rPr>
        <w:t>SECTION IV.  PLANNED UNIT DEVELOPMENT</w:t>
      </w:r>
    </w:p>
    <w:p w:rsidR="005E2CBA" w:rsidRPr="00017A7A" w:rsidRDefault="005E2CBA" w:rsidP="005E2C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Book Antiqua" w:hAnsi="Book Antiqua"/>
          <w:sz w:val="22"/>
          <w:szCs w:val="22"/>
        </w:rPr>
      </w:pPr>
    </w:p>
    <w:p w:rsidR="005E2CBA" w:rsidRPr="00017A7A" w:rsidRDefault="005E2CBA" w:rsidP="005E2CBA">
      <w:pPr>
        <w:pStyle w:val="ALXTZoningOrdinanceHeading2"/>
        <w:rPr>
          <w:rFonts w:ascii="Book Antiqua" w:hAnsi="Book Antiqua"/>
          <w:sz w:val="22"/>
          <w:szCs w:val="22"/>
        </w:rPr>
      </w:pPr>
      <w:r w:rsidRPr="00017A7A">
        <w:rPr>
          <w:rFonts w:ascii="Book Antiqua" w:hAnsi="Book Antiqua"/>
          <w:sz w:val="22"/>
          <w:szCs w:val="22"/>
        </w:rPr>
        <w:t>C.</w:t>
      </w:r>
      <w:r w:rsidRPr="00017A7A">
        <w:rPr>
          <w:rFonts w:ascii="Book Antiqua" w:hAnsi="Book Antiqua"/>
          <w:sz w:val="22"/>
          <w:szCs w:val="22"/>
        </w:rPr>
        <w:tab/>
        <w:t>ZONING USE DISTRICT REGULATIONS</w:t>
      </w:r>
    </w:p>
    <w:p w:rsidR="005F7698" w:rsidRPr="00017A7A" w:rsidRDefault="005F7698" w:rsidP="005F7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rPr>
          <w:rFonts w:ascii="Book Antiqua" w:hAnsi="Book Antiqua"/>
          <w:sz w:val="22"/>
          <w:szCs w:val="22"/>
        </w:rPr>
      </w:pPr>
    </w:p>
    <w:p w:rsidR="005F7698" w:rsidRPr="00017A7A" w:rsidRDefault="005F7698" w:rsidP="005F7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rPr>
          <w:rFonts w:ascii="Book Antiqua" w:hAnsi="Book Antiqua"/>
          <w:sz w:val="22"/>
          <w:szCs w:val="22"/>
        </w:rPr>
      </w:pPr>
      <w:r w:rsidRPr="00017A7A">
        <w:rPr>
          <w:rFonts w:ascii="Book Antiqua" w:hAnsi="Book Antiqua"/>
          <w:sz w:val="22"/>
          <w:szCs w:val="22"/>
        </w:rPr>
        <w:t>2.</w:t>
      </w:r>
      <w:r w:rsidRPr="00017A7A">
        <w:rPr>
          <w:rFonts w:ascii="Book Antiqua" w:hAnsi="Book Antiqua"/>
          <w:sz w:val="22"/>
          <w:szCs w:val="22"/>
        </w:rPr>
        <w:tab/>
      </w:r>
      <w:r w:rsidRPr="00017A7A">
        <w:rPr>
          <w:rFonts w:ascii="Book Antiqua" w:hAnsi="Book Antiqua"/>
          <w:sz w:val="22"/>
          <w:szCs w:val="22"/>
          <w:u w:val="single"/>
        </w:rPr>
        <w:t>Other Zoning Districts (UR, C-U, C-R, I)</w:t>
      </w:r>
    </w:p>
    <w:p w:rsidR="005F7698" w:rsidRPr="00017A7A" w:rsidRDefault="005F7698" w:rsidP="005F7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Book Antiqua" w:hAnsi="Book Antiqua"/>
          <w:sz w:val="22"/>
          <w:szCs w:val="22"/>
        </w:rPr>
      </w:pPr>
    </w:p>
    <w:p w:rsidR="005F7698" w:rsidRPr="00017A7A" w:rsidRDefault="005F7698" w:rsidP="005F7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rPr>
          <w:rFonts w:ascii="Book Antiqua" w:hAnsi="Book Antiqua"/>
          <w:sz w:val="22"/>
          <w:szCs w:val="22"/>
        </w:rPr>
      </w:pPr>
      <w:r w:rsidRPr="00017A7A">
        <w:rPr>
          <w:rFonts w:ascii="Book Antiqua" w:hAnsi="Book Antiqua"/>
          <w:sz w:val="22"/>
          <w:szCs w:val="22"/>
        </w:rPr>
        <w:t>A planned unit development may be allowed in the UR, C-U, C-R and I districts, provided a conditional use permit has been approved by the Town Board.  Developments must contain a tract of land 2.5 acres or larger and have a minimum lot width of three hundred (300) feet.</w:t>
      </w:r>
    </w:p>
    <w:p w:rsidR="005F7698" w:rsidRPr="00017A7A" w:rsidRDefault="005F7698" w:rsidP="005F7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Book Antiqua" w:hAnsi="Book Antiqua"/>
          <w:sz w:val="22"/>
          <w:szCs w:val="22"/>
        </w:rPr>
      </w:pPr>
    </w:p>
    <w:p w:rsidR="00430E92" w:rsidRPr="00017A7A" w:rsidRDefault="00430E92" w:rsidP="00430E92">
      <w:pPr>
        <w:pStyle w:val="ALXTZoningOrdinanceHeading2"/>
        <w:rPr>
          <w:rFonts w:ascii="Book Antiqua" w:hAnsi="Book Antiqua"/>
          <w:sz w:val="22"/>
          <w:szCs w:val="22"/>
        </w:rPr>
      </w:pPr>
      <w:r w:rsidRPr="00017A7A">
        <w:rPr>
          <w:rFonts w:ascii="Book Antiqua" w:hAnsi="Book Antiqua"/>
          <w:sz w:val="22"/>
          <w:szCs w:val="22"/>
        </w:rPr>
        <w:t>D.</w:t>
      </w:r>
      <w:r w:rsidRPr="00017A7A">
        <w:rPr>
          <w:rFonts w:ascii="Book Antiqua" w:hAnsi="Book Antiqua"/>
          <w:sz w:val="22"/>
          <w:szCs w:val="22"/>
        </w:rPr>
        <w:tab/>
        <w:t>REQUIREMENTS AND REGULATIONS.</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Book Antiqua" w:hAnsi="Book Antiqua"/>
          <w:sz w:val="22"/>
          <w:szCs w:val="22"/>
        </w:rPr>
      </w:pPr>
      <w:r w:rsidRPr="00017A7A">
        <w:rPr>
          <w:rFonts w:ascii="Book Antiqua" w:hAnsi="Book Antiqua"/>
          <w:sz w:val="22"/>
          <w:szCs w:val="22"/>
        </w:rPr>
        <w:t>2.</w:t>
      </w:r>
      <w:r w:rsidRPr="00017A7A">
        <w:rPr>
          <w:rFonts w:ascii="Book Antiqua" w:hAnsi="Book Antiqua"/>
          <w:sz w:val="22"/>
          <w:szCs w:val="22"/>
        </w:rPr>
        <w:tab/>
      </w:r>
      <w:r w:rsidRPr="00017A7A">
        <w:rPr>
          <w:rFonts w:ascii="Book Antiqua" w:hAnsi="Book Antiqua"/>
          <w:sz w:val="22"/>
          <w:szCs w:val="22"/>
          <w:u w:val="single"/>
        </w:rPr>
        <w:t>General Requirements and Regulations.</w:t>
      </w:r>
      <w:r w:rsidRPr="00017A7A">
        <w:rPr>
          <w:rStyle w:val="FootnoteReference"/>
          <w:rFonts w:ascii="Book Antiqua" w:hAnsi="Book Antiqua"/>
          <w:sz w:val="22"/>
          <w:szCs w:val="22"/>
          <w:u w:val="single"/>
        </w:rPr>
        <w:footnoteReference w:id="1"/>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Book Antiqua" w:hAnsi="Book Antiqua"/>
          <w:sz w:val="22"/>
          <w:szCs w:val="22"/>
        </w:rPr>
      </w:pPr>
      <w:r w:rsidRPr="00017A7A">
        <w:rPr>
          <w:rFonts w:ascii="Book Antiqua" w:hAnsi="Book Antiqua"/>
          <w:sz w:val="22"/>
          <w:szCs w:val="22"/>
        </w:rPr>
        <w:t>a.</w:t>
      </w:r>
      <w:r w:rsidRPr="00017A7A">
        <w:rPr>
          <w:rFonts w:ascii="Book Antiqua" w:hAnsi="Book Antiqua"/>
          <w:sz w:val="22"/>
          <w:szCs w:val="22"/>
        </w:rPr>
        <w:tab/>
        <w:t>Maintenance and Design Criteria.</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Book Antiqua" w:hAnsi="Book Antiqua"/>
          <w:sz w:val="22"/>
          <w:szCs w:val="22"/>
        </w:rPr>
      </w:pPr>
      <w:r w:rsidRPr="00017A7A">
        <w:rPr>
          <w:rFonts w:ascii="Book Antiqua" w:hAnsi="Book Antiqua"/>
          <w:sz w:val="22"/>
          <w:szCs w:val="22"/>
        </w:rPr>
        <w:t>(2.)</w:t>
      </w:r>
      <w:r w:rsidRPr="00017A7A">
        <w:rPr>
          <w:rFonts w:ascii="Book Antiqua" w:hAnsi="Book Antiqua"/>
          <w:sz w:val="22"/>
          <w:szCs w:val="22"/>
        </w:rPr>
        <w:tab/>
        <w:t>Open Space Requirements.</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Book Antiqua" w:hAnsi="Book Antiqua"/>
          <w:sz w:val="22"/>
          <w:szCs w:val="22"/>
        </w:rPr>
      </w:pPr>
      <w:r w:rsidRPr="00017A7A">
        <w:rPr>
          <w:rFonts w:ascii="Book Antiqua" w:hAnsi="Book Antiqua"/>
          <w:sz w:val="22"/>
          <w:szCs w:val="22"/>
        </w:rPr>
        <w:t>Planned unit developments must contain open space meeting all of the following criteria:</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r w:rsidRPr="00017A7A">
        <w:rPr>
          <w:rFonts w:ascii="Book Antiqua" w:hAnsi="Book Antiqua"/>
          <w:sz w:val="22"/>
          <w:szCs w:val="22"/>
        </w:rPr>
        <w:t>(a.)</w:t>
      </w:r>
      <w:r w:rsidRPr="00017A7A">
        <w:rPr>
          <w:rFonts w:ascii="Book Antiqua" w:hAnsi="Book Antiqua"/>
          <w:sz w:val="22"/>
          <w:szCs w:val="22"/>
        </w:rPr>
        <w:tab/>
        <w:t>For residential and commercial (shoreland) and single-family (non-shoreland) PUDs, at least fifty (50) percent  of each tier (where applicable), and of the total project area must be permanently preserved as common open space. At least thirty-three (33) percent of the common open space shall be retained in a contiguous area and at least fifty (50) percent of the common open space must be upland. The Township shall consider whether the proposed open space meets the purpose and intent of this ordinance and shall require amended plans if it finds that it does not.</w:t>
      </w:r>
      <w:r w:rsidRPr="00017A7A">
        <w:rPr>
          <w:rStyle w:val="FootnoteReference"/>
          <w:rFonts w:ascii="Book Antiqua" w:hAnsi="Book Antiqua"/>
          <w:sz w:val="22"/>
          <w:szCs w:val="22"/>
        </w:rPr>
        <w:footnoteReference w:id="2"/>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jc w:val="both"/>
        <w:rPr>
          <w:rFonts w:ascii="Book Antiqua" w:hAnsi="Book Antiqua"/>
          <w:sz w:val="22"/>
          <w:szCs w:val="22"/>
        </w:rPr>
      </w:pPr>
      <w:r w:rsidRPr="00017A7A">
        <w:rPr>
          <w:rFonts w:ascii="Book Antiqua" w:hAnsi="Book Antiqua"/>
          <w:sz w:val="22"/>
          <w:szCs w:val="22"/>
        </w:rPr>
        <w:t>For multi-family and non-residential PUDs (non-shoreland), at least twenty-five (25) percent of the total project areas must be permanently preserved as common open space. Such open space shall be contiguous as much as possible and must be approved by the Township, which shall consider whether the space meets the purpose and intent of this ordinance.</w:t>
      </w:r>
      <w:r w:rsidRPr="00017A7A">
        <w:rPr>
          <w:rStyle w:val="FootnoteReference"/>
          <w:rFonts w:ascii="Book Antiqua" w:hAnsi="Book Antiqua"/>
          <w:sz w:val="22"/>
          <w:szCs w:val="22"/>
        </w:rPr>
        <w:footnoteReference w:id="3"/>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r w:rsidRPr="00017A7A">
        <w:rPr>
          <w:rFonts w:ascii="Book Antiqua" w:hAnsi="Book Antiqua"/>
          <w:sz w:val="22"/>
          <w:szCs w:val="22"/>
        </w:rPr>
        <w:t>(b.)</w:t>
      </w:r>
      <w:r w:rsidRPr="00017A7A">
        <w:rPr>
          <w:rFonts w:ascii="Book Antiqua" w:hAnsi="Book Antiqua"/>
          <w:sz w:val="22"/>
          <w:szCs w:val="22"/>
        </w:rPr>
        <w:tab/>
        <w:t>All land within 25 feet of any structure and any road right-of-ways or public road easements shall not be included in the computation of common open space. A ten (10) foot buffer, which cannot be considered open space, must be placed around all existing and proposed impervious surfaces.</w:t>
      </w:r>
      <w:r w:rsidRPr="00017A7A">
        <w:rPr>
          <w:rStyle w:val="FootnoteReference"/>
          <w:rFonts w:ascii="Book Antiqua" w:hAnsi="Book Antiqua"/>
          <w:sz w:val="22"/>
          <w:szCs w:val="22"/>
        </w:rPr>
        <w:footnoteReference w:id="4"/>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r w:rsidRPr="00017A7A">
        <w:rPr>
          <w:rFonts w:ascii="Book Antiqua" w:hAnsi="Book Antiqua"/>
          <w:sz w:val="22"/>
          <w:szCs w:val="22"/>
        </w:rPr>
        <w:t>(c.)</w:t>
      </w:r>
      <w:r w:rsidRPr="00017A7A">
        <w:rPr>
          <w:rFonts w:ascii="Book Antiqua" w:hAnsi="Book Antiqua"/>
          <w:sz w:val="22"/>
          <w:szCs w:val="22"/>
        </w:rPr>
        <w:tab/>
        <w:t>Open space must include areas with physical characteristics unsuitable for development in their natural state, and areas containing significant historic sites or unplatted cemeteries.</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r w:rsidRPr="00017A7A">
        <w:rPr>
          <w:rFonts w:ascii="Book Antiqua" w:hAnsi="Book Antiqua"/>
          <w:sz w:val="22"/>
          <w:szCs w:val="22"/>
        </w:rPr>
        <w:t>(d.)</w:t>
      </w:r>
      <w:r w:rsidRPr="00017A7A">
        <w:rPr>
          <w:rFonts w:ascii="Book Antiqua" w:hAnsi="Book Antiqua"/>
          <w:sz w:val="22"/>
          <w:szCs w:val="22"/>
        </w:rPr>
        <w:tab/>
        <w:t>Open space may include outdoor recreational facilities for use by owners of dwelling units or sites by guests staying in commercial dwelling units or sites and by the general public.  Open space must not include commercial facilities or uses.</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r w:rsidRPr="00017A7A">
        <w:rPr>
          <w:rFonts w:ascii="Book Antiqua" w:hAnsi="Book Antiqua"/>
          <w:sz w:val="22"/>
          <w:szCs w:val="22"/>
        </w:rPr>
        <w:t>(e.)</w:t>
      </w:r>
      <w:r w:rsidRPr="00017A7A">
        <w:rPr>
          <w:rFonts w:ascii="Book Antiqua" w:hAnsi="Book Antiqua"/>
          <w:sz w:val="22"/>
          <w:szCs w:val="22"/>
        </w:rPr>
        <w:tab/>
        <w:t>Open space may include sub-surface sewage treatment systems if the use of the space is restricted to avoid adverse impacts on the systems.</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r w:rsidRPr="00017A7A">
        <w:rPr>
          <w:rFonts w:ascii="Book Antiqua" w:hAnsi="Book Antiqua"/>
          <w:sz w:val="22"/>
          <w:szCs w:val="22"/>
        </w:rPr>
        <w:t>(f.)</w:t>
      </w:r>
      <w:r w:rsidRPr="00017A7A">
        <w:rPr>
          <w:rFonts w:ascii="Book Antiqua" w:hAnsi="Book Antiqua"/>
          <w:sz w:val="22"/>
          <w:szCs w:val="22"/>
        </w:rPr>
        <w:tab/>
        <w:t>The appearance of open space areas, including topography, vegetation and allowable uses, must be preserved by use of restrictive deed covenants, permanent easements, public dedication and acceptance, or other equally effective and permanent means.</w:t>
      </w: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 Antiqua" w:hAnsi="Book Antiqua"/>
          <w:sz w:val="22"/>
          <w:szCs w:val="22"/>
        </w:rPr>
      </w:pPr>
    </w:p>
    <w:p w:rsidR="00430E92" w:rsidRPr="00017A7A" w:rsidRDefault="00430E92" w:rsidP="00430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720"/>
        <w:jc w:val="both"/>
        <w:rPr>
          <w:rFonts w:ascii="Book Antiqua" w:hAnsi="Book Antiqua"/>
          <w:sz w:val="22"/>
          <w:szCs w:val="22"/>
        </w:rPr>
      </w:pPr>
      <w:r w:rsidRPr="00017A7A">
        <w:rPr>
          <w:rFonts w:ascii="Book Antiqua" w:hAnsi="Book Antiqua"/>
          <w:sz w:val="22"/>
          <w:szCs w:val="22"/>
        </w:rPr>
        <w:t>(g.)</w:t>
      </w:r>
      <w:r w:rsidRPr="00017A7A">
        <w:rPr>
          <w:rFonts w:ascii="Book Antiqua" w:hAnsi="Book Antiqua"/>
          <w:sz w:val="22"/>
          <w:szCs w:val="22"/>
        </w:rPr>
        <w:tab/>
        <w:t>The shore impact zone, based on normal structure setbacks, must be included as open space.  At least fifty (50) percent of the shore impact zone area of existing developments or at least seventy (70) percent of the shore impact zone area of new developments must be preserved in its natural or existing state.</w:t>
      </w:r>
    </w:p>
    <w:p w:rsidR="00BF4FC4" w:rsidRPr="00017A7A" w:rsidRDefault="00BF4FC4" w:rsidP="005F76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sz w:val="22"/>
          <w:szCs w:val="22"/>
        </w:rPr>
      </w:pPr>
    </w:p>
    <w:p w:rsidR="00BF4FC4" w:rsidRPr="00017A7A" w:rsidRDefault="00BF4FC4" w:rsidP="007D236B">
      <w:pPr>
        <w:rPr>
          <w:rFonts w:ascii="Book Antiqua" w:hAnsi="Book Antiqua"/>
          <w:sz w:val="22"/>
          <w:szCs w:val="22"/>
        </w:rPr>
      </w:pPr>
    </w:p>
    <w:p w:rsidR="00BF4FC4" w:rsidRPr="00017A7A" w:rsidRDefault="00BF4FC4" w:rsidP="000932B7">
      <w:pPr>
        <w:pBdr>
          <w:top w:val="single" w:sz="4" w:space="1" w:color="auto"/>
        </w:pBdr>
        <w:autoSpaceDE w:val="0"/>
        <w:autoSpaceDN w:val="0"/>
        <w:adjustRightInd w:val="0"/>
        <w:jc w:val="both"/>
        <w:rPr>
          <w:rFonts w:ascii="Book Antiqua" w:hAnsi="Book Antiqua"/>
          <w:sz w:val="22"/>
          <w:szCs w:val="22"/>
        </w:rPr>
      </w:pPr>
      <w:r w:rsidRPr="00017A7A">
        <w:rPr>
          <w:rFonts w:ascii="Book Antiqua" w:hAnsi="Book Antiqua"/>
          <w:b/>
          <w:sz w:val="22"/>
          <w:szCs w:val="22"/>
        </w:rPr>
        <w:t xml:space="preserve">Findings of Fact: </w:t>
      </w:r>
      <w:r w:rsidRPr="00017A7A">
        <w:rPr>
          <w:rFonts w:ascii="Book Antiqua" w:hAnsi="Book Antiqua"/>
          <w:sz w:val="22"/>
          <w:szCs w:val="22"/>
        </w:rPr>
        <w:t>The following findings of fact are presented by Staff for consideration by the Board of Adjustment:</w:t>
      </w:r>
    </w:p>
    <w:p w:rsidR="00BF4FC4" w:rsidRPr="00017A7A" w:rsidRDefault="00BF4FC4" w:rsidP="00BB5D9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Book Antiqua" w:hAnsi="Book Antiqua"/>
          <w:b/>
          <w:sz w:val="22"/>
          <w:szCs w:val="22"/>
        </w:rPr>
      </w:pPr>
      <w:r w:rsidRPr="00017A7A">
        <w:rPr>
          <w:rFonts w:ascii="Book Antiqua" w:hAnsi="Book Antiqua"/>
          <w:b/>
          <w:sz w:val="22"/>
          <w:szCs w:val="22"/>
        </w:rPr>
        <w:t>Can the property in question be put to a reasonable use if used under the conditions allowed by this Ordinance?</w:t>
      </w:r>
    </w:p>
    <w:p w:rsidR="00430E92" w:rsidRPr="00017A7A" w:rsidRDefault="00BF4FC4" w:rsidP="00BB5D9A">
      <w:pPr>
        <w:pStyle w:val="HTMLPreformatted"/>
        <w:tabs>
          <w:tab w:val="clear" w:pos="916"/>
        </w:tabs>
        <w:spacing w:before="120"/>
        <w:ind w:left="720"/>
        <w:jc w:val="both"/>
        <w:rPr>
          <w:rFonts w:ascii="Book Antiqua" w:hAnsi="Book Antiqua"/>
          <w:sz w:val="22"/>
          <w:szCs w:val="22"/>
        </w:rPr>
      </w:pPr>
      <w:r w:rsidRPr="00017A7A">
        <w:rPr>
          <w:rFonts w:ascii="Book Antiqua" w:hAnsi="Book Antiqua"/>
          <w:b/>
          <w:sz w:val="22"/>
          <w:szCs w:val="22"/>
        </w:rPr>
        <w:t xml:space="preserve">Needs discussion. </w:t>
      </w:r>
      <w:r w:rsidR="00430E92" w:rsidRPr="00017A7A">
        <w:rPr>
          <w:rFonts w:ascii="Book Antiqua" w:hAnsi="Book Antiqua"/>
          <w:sz w:val="22"/>
          <w:szCs w:val="22"/>
        </w:rPr>
        <w:t xml:space="preserve">The property is currently platted as four separate lots, each intended for a single-family dwelling. If a PUD were not allowed at all, this would be the use that would be permitted. Due to the requirement that the lot for a PUD be at least 2.5 acres and the lot does not meet this requirement, there is no use of the property as a PUD without a variance. Further, if the open space </w:t>
      </w:r>
      <w:r w:rsidR="00017A7A" w:rsidRPr="00017A7A">
        <w:rPr>
          <w:rFonts w:ascii="Book Antiqua" w:hAnsi="Book Antiqua"/>
          <w:sz w:val="22"/>
          <w:szCs w:val="22"/>
        </w:rPr>
        <w:t>requirements</w:t>
      </w:r>
      <w:r w:rsidR="00430E92" w:rsidRPr="00017A7A">
        <w:rPr>
          <w:rFonts w:ascii="Book Antiqua" w:hAnsi="Book Antiqua"/>
          <w:sz w:val="22"/>
          <w:szCs w:val="22"/>
        </w:rPr>
        <w:t xml:space="preserve"> for the PUD were required to be met, the lot would support fewer than four dwellings on the property, but would allow for at least that use.</w:t>
      </w:r>
    </w:p>
    <w:p w:rsidR="00BF4FC4" w:rsidRPr="00017A7A" w:rsidRDefault="00BF4FC4" w:rsidP="00BB5D9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Book Antiqua" w:hAnsi="Book Antiqua"/>
          <w:b/>
          <w:sz w:val="22"/>
          <w:szCs w:val="22"/>
        </w:rPr>
      </w:pPr>
      <w:r w:rsidRPr="00017A7A">
        <w:rPr>
          <w:rFonts w:ascii="Book Antiqua" w:hAnsi="Book Antiqua"/>
          <w:b/>
          <w:sz w:val="22"/>
          <w:szCs w:val="22"/>
        </w:rPr>
        <w:t>Is the plight of the landowner due to circumstances unique to the property not created by the landowner?</w:t>
      </w:r>
    </w:p>
    <w:p w:rsidR="00BF4FC4" w:rsidRPr="00017A7A" w:rsidRDefault="00BF4FC4" w:rsidP="00BB5D9A">
      <w:pPr>
        <w:pStyle w:val="HTMLPreformatted"/>
        <w:tabs>
          <w:tab w:val="clear" w:pos="916"/>
        </w:tabs>
        <w:spacing w:before="120"/>
        <w:ind w:left="720"/>
        <w:jc w:val="both"/>
        <w:rPr>
          <w:rFonts w:ascii="Book Antiqua" w:hAnsi="Book Antiqua"/>
          <w:sz w:val="22"/>
          <w:szCs w:val="22"/>
        </w:rPr>
      </w:pPr>
      <w:r w:rsidRPr="00017A7A">
        <w:rPr>
          <w:rFonts w:ascii="Book Antiqua" w:hAnsi="Book Antiqua"/>
          <w:b/>
          <w:sz w:val="22"/>
          <w:szCs w:val="22"/>
        </w:rPr>
        <w:t xml:space="preserve">Needs discussion. </w:t>
      </w:r>
      <w:r w:rsidR="00430E92" w:rsidRPr="00017A7A">
        <w:rPr>
          <w:rFonts w:ascii="Book Antiqua" w:hAnsi="Book Antiqua"/>
          <w:sz w:val="22"/>
          <w:szCs w:val="22"/>
        </w:rPr>
        <w:t>The restricted amount of acreage available for the proposed PUD is the consequence of the original 1998 plat as presented and approved by Douglas County. The inability to meet the open space requirement is a consequence of changes to the Zoning Ordinance made by Alexandria Township that resulted in a more restrictive method for calculating open space (if the PUD were to follow the less restrictive calculation of open space in the Douglas County ordinance, it would contain more than 50% open space). In addition, the desires of the applicant for five units are part of the reason for the needed variances.</w:t>
      </w:r>
      <w:r w:rsidR="004B6A61" w:rsidRPr="00017A7A">
        <w:rPr>
          <w:rFonts w:ascii="Book Antiqua" w:hAnsi="Book Antiqua"/>
          <w:sz w:val="22"/>
          <w:szCs w:val="22"/>
        </w:rPr>
        <w:t xml:space="preserve"> </w:t>
      </w:r>
    </w:p>
    <w:p w:rsidR="00BF4FC4" w:rsidRPr="00017A7A" w:rsidRDefault="00BF4FC4" w:rsidP="00BB5D9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Book Antiqua" w:hAnsi="Book Antiqua"/>
          <w:b/>
          <w:sz w:val="22"/>
          <w:szCs w:val="22"/>
        </w:rPr>
      </w:pPr>
      <w:r w:rsidRPr="00017A7A">
        <w:rPr>
          <w:rFonts w:ascii="Book Antiqua" w:hAnsi="Book Antiqua"/>
          <w:b/>
          <w:sz w:val="22"/>
          <w:szCs w:val="22"/>
        </w:rPr>
        <w:t>Is the variance necessary to secure a right or rights enjoyed by other owner(s) in the same area</w:t>
      </w:r>
      <w:r w:rsidR="00430E92" w:rsidRPr="00017A7A">
        <w:rPr>
          <w:rFonts w:ascii="Book Antiqua" w:hAnsi="Book Antiqua"/>
          <w:b/>
          <w:sz w:val="22"/>
          <w:szCs w:val="22"/>
        </w:rPr>
        <w:t>?</w:t>
      </w:r>
    </w:p>
    <w:p w:rsidR="0079375D" w:rsidRPr="00017A7A" w:rsidRDefault="00BF4FC4" w:rsidP="00DE4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jc w:val="both"/>
        <w:rPr>
          <w:rFonts w:ascii="Book Antiqua" w:hAnsi="Book Antiqua"/>
          <w:sz w:val="22"/>
          <w:szCs w:val="22"/>
        </w:rPr>
      </w:pPr>
      <w:r w:rsidRPr="00017A7A">
        <w:rPr>
          <w:rFonts w:ascii="Book Antiqua" w:hAnsi="Book Antiqua"/>
          <w:b/>
          <w:sz w:val="22"/>
          <w:szCs w:val="22"/>
        </w:rPr>
        <w:t>Needs discussion.</w:t>
      </w:r>
      <w:r w:rsidR="00134CD9" w:rsidRPr="00017A7A">
        <w:rPr>
          <w:rFonts w:ascii="Book Antiqua" w:hAnsi="Book Antiqua"/>
          <w:b/>
          <w:sz w:val="22"/>
          <w:szCs w:val="22"/>
        </w:rPr>
        <w:t xml:space="preserve">  </w:t>
      </w:r>
      <w:r w:rsidR="0079375D" w:rsidRPr="00017A7A">
        <w:rPr>
          <w:rFonts w:ascii="Book Antiqua" w:hAnsi="Book Antiqua"/>
          <w:sz w:val="22"/>
          <w:szCs w:val="22"/>
        </w:rPr>
        <w:t>Other owners in the same area include the owners of single family homes directly to the west and throughout most of the immediate area. The property owners to the east (that property was developed as a PUD by the same applicant) have use of their property as a similarly designed PUD – with the exception that that PUD contains mostly attached townhomes and the current proposal is for detached townhomes.</w:t>
      </w:r>
    </w:p>
    <w:p w:rsidR="00BF4FC4" w:rsidRPr="00017A7A" w:rsidRDefault="0079375D" w:rsidP="00DE4B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jc w:val="both"/>
        <w:rPr>
          <w:rFonts w:ascii="Book Antiqua" w:hAnsi="Book Antiqua"/>
          <w:sz w:val="22"/>
          <w:szCs w:val="22"/>
        </w:rPr>
      </w:pPr>
      <w:r w:rsidRPr="00017A7A">
        <w:rPr>
          <w:rFonts w:ascii="Book Antiqua" w:hAnsi="Book Antiqua"/>
          <w:sz w:val="22"/>
          <w:szCs w:val="22"/>
        </w:rPr>
        <w:t>The current proposal presents a somewhat unique situation, in that without any new proposal, they could be used for up to four single family homes and the total acreage is a large part of the issue at hand – not the use of the property.</w:t>
      </w:r>
    </w:p>
    <w:p w:rsidR="00BF4FC4" w:rsidRPr="00017A7A" w:rsidRDefault="00BF4FC4" w:rsidP="00BB5D9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Book Antiqua" w:hAnsi="Book Antiqua"/>
          <w:b/>
          <w:sz w:val="22"/>
          <w:szCs w:val="22"/>
        </w:rPr>
      </w:pPr>
      <w:r w:rsidRPr="00017A7A">
        <w:rPr>
          <w:rFonts w:ascii="Book Antiqua" w:hAnsi="Book Antiqua"/>
          <w:b/>
          <w:sz w:val="22"/>
          <w:szCs w:val="22"/>
        </w:rPr>
        <w:t>Will the variance, if granted, alter the essential character of the locality?</w:t>
      </w:r>
    </w:p>
    <w:p w:rsidR="00BF4FC4" w:rsidRPr="00017A7A" w:rsidRDefault="0079375D" w:rsidP="00BB5D9A">
      <w:pPr>
        <w:tabs>
          <w:tab w:val="num" w:pos="916"/>
        </w:tabs>
        <w:autoSpaceDE w:val="0"/>
        <w:autoSpaceDN w:val="0"/>
        <w:adjustRightInd w:val="0"/>
        <w:spacing w:before="120"/>
        <w:ind w:left="720"/>
        <w:jc w:val="both"/>
        <w:rPr>
          <w:rFonts w:ascii="Book Antiqua" w:hAnsi="Book Antiqua"/>
          <w:sz w:val="22"/>
          <w:szCs w:val="22"/>
        </w:rPr>
      </w:pPr>
      <w:r w:rsidRPr="00017A7A">
        <w:rPr>
          <w:rFonts w:ascii="Book Antiqua" w:hAnsi="Book Antiqua"/>
          <w:b/>
          <w:sz w:val="22"/>
          <w:szCs w:val="22"/>
        </w:rPr>
        <w:t>Needs discussion</w:t>
      </w:r>
      <w:r w:rsidR="00BF4FC4" w:rsidRPr="00017A7A">
        <w:rPr>
          <w:rFonts w:ascii="Book Antiqua" w:hAnsi="Book Antiqua"/>
          <w:b/>
          <w:sz w:val="22"/>
          <w:szCs w:val="22"/>
        </w:rPr>
        <w:t xml:space="preserve">. </w:t>
      </w:r>
      <w:r w:rsidRPr="00017A7A">
        <w:rPr>
          <w:rFonts w:ascii="Book Antiqua" w:hAnsi="Book Antiqua"/>
          <w:sz w:val="22"/>
          <w:szCs w:val="22"/>
        </w:rPr>
        <w:t>The essential character of the area is single-family residential dwellings. Mostly, the area contains detached single-family homes, with the land across the road to the east containing a PUD involving attached townhomes. Overall, the proposal appears to be consistent with the nearby land uses and character and represents somewhat of a "transition" between the townhomes to the east and the single-family units to the west.</w:t>
      </w:r>
    </w:p>
    <w:p w:rsidR="00BF4FC4" w:rsidRPr="00017A7A" w:rsidRDefault="00BF4FC4" w:rsidP="00BB5D9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Book Antiqua" w:hAnsi="Book Antiqua"/>
          <w:b/>
          <w:sz w:val="22"/>
          <w:szCs w:val="22"/>
        </w:rPr>
      </w:pPr>
      <w:r w:rsidRPr="00017A7A">
        <w:rPr>
          <w:rFonts w:ascii="Book Antiqua" w:hAnsi="Book Antiqua"/>
          <w:b/>
          <w:sz w:val="22"/>
          <w:szCs w:val="22"/>
        </w:rPr>
        <w:t>Are economic considerations the only reason the applicant cannot meet the strict requirements of the ordinance?</w:t>
      </w:r>
    </w:p>
    <w:p w:rsidR="00BF4FC4" w:rsidRPr="00017A7A" w:rsidRDefault="00BF4FC4" w:rsidP="00BB5D9A">
      <w:pPr>
        <w:autoSpaceDE w:val="0"/>
        <w:autoSpaceDN w:val="0"/>
        <w:adjustRightInd w:val="0"/>
        <w:spacing w:before="120"/>
        <w:ind w:left="720"/>
        <w:jc w:val="both"/>
        <w:rPr>
          <w:rFonts w:ascii="Book Antiqua" w:hAnsi="Book Antiqua"/>
          <w:sz w:val="22"/>
          <w:szCs w:val="22"/>
        </w:rPr>
      </w:pPr>
      <w:r w:rsidRPr="00017A7A">
        <w:rPr>
          <w:rFonts w:ascii="Book Antiqua" w:hAnsi="Book Antiqua"/>
          <w:b/>
          <w:sz w:val="22"/>
          <w:szCs w:val="22"/>
        </w:rPr>
        <w:t>N</w:t>
      </w:r>
      <w:r w:rsidR="00144DE9" w:rsidRPr="00017A7A">
        <w:rPr>
          <w:rFonts w:ascii="Book Antiqua" w:hAnsi="Book Antiqua"/>
          <w:b/>
          <w:sz w:val="22"/>
          <w:szCs w:val="22"/>
        </w:rPr>
        <w:t>o</w:t>
      </w:r>
      <w:r w:rsidRPr="00017A7A">
        <w:rPr>
          <w:rFonts w:ascii="Book Antiqua" w:hAnsi="Book Antiqua"/>
          <w:b/>
          <w:sz w:val="22"/>
          <w:szCs w:val="22"/>
        </w:rPr>
        <w:t xml:space="preserve">. </w:t>
      </w:r>
      <w:r w:rsidRPr="00017A7A">
        <w:rPr>
          <w:rFonts w:ascii="Book Antiqua" w:hAnsi="Book Antiqua"/>
          <w:sz w:val="22"/>
          <w:szCs w:val="22"/>
        </w:rPr>
        <w:t xml:space="preserve">The </w:t>
      </w:r>
      <w:r w:rsidR="004B6A61" w:rsidRPr="00017A7A">
        <w:rPr>
          <w:rFonts w:ascii="Book Antiqua" w:hAnsi="Book Antiqua"/>
          <w:sz w:val="22"/>
          <w:szCs w:val="22"/>
        </w:rPr>
        <w:t>primary reason for the</w:t>
      </w:r>
      <w:r w:rsidR="00466378" w:rsidRPr="00017A7A">
        <w:rPr>
          <w:rFonts w:ascii="Book Antiqua" w:hAnsi="Book Antiqua"/>
          <w:sz w:val="22"/>
          <w:szCs w:val="22"/>
        </w:rPr>
        <w:t>se</w:t>
      </w:r>
      <w:r w:rsidR="004B6A61" w:rsidRPr="00017A7A">
        <w:rPr>
          <w:rFonts w:ascii="Book Antiqua" w:hAnsi="Book Antiqua"/>
          <w:sz w:val="22"/>
          <w:szCs w:val="22"/>
        </w:rPr>
        <w:t xml:space="preserve"> variance</w:t>
      </w:r>
      <w:r w:rsidR="00466378" w:rsidRPr="00017A7A">
        <w:rPr>
          <w:rFonts w:ascii="Book Antiqua" w:hAnsi="Book Antiqua"/>
          <w:sz w:val="22"/>
          <w:szCs w:val="22"/>
        </w:rPr>
        <w:t>s</w:t>
      </w:r>
      <w:r w:rsidR="004B6A61" w:rsidRPr="00017A7A">
        <w:rPr>
          <w:rFonts w:ascii="Book Antiqua" w:hAnsi="Book Antiqua"/>
          <w:sz w:val="22"/>
          <w:szCs w:val="22"/>
        </w:rPr>
        <w:t xml:space="preserve"> is </w:t>
      </w:r>
      <w:r w:rsidR="00144DE9" w:rsidRPr="00017A7A">
        <w:rPr>
          <w:rFonts w:ascii="Book Antiqua" w:hAnsi="Book Antiqua"/>
          <w:sz w:val="22"/>
          <w:szCs w:val="22"/>
        </w:rPr>
        <w:t xml:space="preserve">not economics, </w:t>
      </w:r>
      <w:r w:rsidR="0079375D" w:rsidRPr="00017A7A">
        <w:rPr>
          <w:rFonts w:ascii="Book Antiqua" w:hAnsi="Book Antiqua"/>
          <w:sz w:val="22"/>
          <w:szCs w:val="22"/>
        </w:rPr>
        <w:t xml:space="preserve">but </w:t>
      </w:r>
      <w:r w:rsidR="00144DE9" w:rsidRPr="00017A7A">
        <w:rPr>
          <w:rFonts w:ascii="Book Antiqua" w:hAnsi="Book Antiqua"/>
          <w:sz w:val="22"/>
          <w:szCs w:val="22"/>
        </w:rPr>
        <w:t xml:space="preserve">rather </w:t>
      </w:r>
      <w:r w:rsidR="0079375D" w:rsidRPr="00017A7A">
        <w:rPr>
          <w:rFonts w:ascii="Book Antiqua" w:hAnsi="Book Antiqua"/>
          <w:sz w:val="22"/>
          <w:szCs w:val="22"/>
        </w:rPr>
        <w:t>the limited amount of acreage and the manner in which open space requirements are calculated.</w:t>
      </w:r>
    </w:p>
    <w:p w:rsidR="00BF4FC4" w:rsidRPr="00017A7A" w:rsidRDefault="00BF4FC4" w:rsidP="00BB5D9A">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Book Antiqua" w:hAnsi="Book Antiqua"/>
          <w:b/>
          <w:sz w:val="22"/>
          <w:szCs w:val="22"/>
        </w:rPr>
      </w:pPr>
      <w:r w:rsidRPr="00017A7A">
        <w:rPr>
          <w:rFonts w:ascii="Book Antiqua" w:hAnsi="Book Antiqua"/>
          <w:b/>
          <w:sz w:val="22"/>
          <w:szCs w:val="22"/>
        </w:rPr>
        <w:t>Will the variance allow a use that is prohibited in the zoning district in which the subject property is located?</w:t>
      </w:r>
    </w:p>
    <w:p w:rsidR="00BF4FC4" w:rsidRPr="00017A7A" w:rsidRDefault="00BF4FC4" w:rsidP="00BB5D9A">
      <w:pPr>
        <w:pStyle w:val="HTMLPreformatted"/>
        <w:spacing w:before="120"/>
        <w:ind w:left="720"/>
        <w:rPr>
          <w:rFonts w:ascii="Book Antiqua" w:hAnsi="Book Antiqua" w:cs="Arial"/>
          <w:sz w:val="22"/>
          <w:szCs w:val="22"/>
        </w:rPr>
      </w:pPr>
      <w:r w:rsidRPr="00017A7A">
        <w:rPr>
          <w:rFonts w:ascii="Book Antiqua" w:hAnsi="Book Antiqua"/>
          <w:b/>
          <w:sz w:val="22"/>
          <w:szCs w:val="22"/>
        </w:rPr>
        <w:t>No.</w:t>
      </w:r>
      <w:r w:rsidRPr="00017A7A">
        <w:rPr>
          <w:rFonts w:ascii="Book Antiqua" w:hAnsi="Book Antiqua"/>
          <w:sz w:val="22"/>
          <w:szCs w:val="22"/>
        </w:rPr>
        <w:t xml:space="preserve"> The use of the property will remain </w:t>
      </w:r>
      <w:r w:rsidR="00466378" w:rsidRPr="00017A7A">
        <w:rPr>
          <w:rFonts w:ascii="Book Antiqua" w:hAnsi="Book Antiqua"/>
          <w:sz w:val="22"/>
          <w:szCs w:val="22"/>
        </w:rPr>
        <w:t xml:space="preserve">single family </w:t>
      </w:r>
      <w:r w:rsidRPr="00017A7A">
        <w:rPr>
          <w:rFonts w:ascii="Book Antiqua" w:hAnsi="Book Antiqua"/>
          <w:sz w:val="22"/>
          <w:szCs w:val="22"/>
        </w:rPr>
        <w:t>residential, which is a permitted use in the Urban Residential zoning district.</w:t>
      </w:r>
    </w:p>
    <w:p w:rsidR="00BF4FC4" w:rsidRPr="00017A7A" w:rsidRDefault="00BF4FC4" w:rsidP="00BB5D9A">
      <w:pPr>
        <w:spacing w:before="120"/>
        <w:jc w:val="both"/>
        <w:rPr>
          <w:rFonts w:ascii="Book Antiqua" w:hAnsi="Book Antiqua"/>
          <w:b/>
          <w:sz w:val="22"/>
          <w:szCs w:val="22"/>
          <w:u w:val="single"/>
        </w:rPr>
      </w:pPr>
    </w:p>
    <w:p w:rsidR="00BF4FC4" w:rsidRPr="00017A7A" w:rsidRDefault="00BF4FC4" w:rsidP="00BB5D9A">
      <w:pPr>
        <w:pBdr>
          <w:top w:val="single" w:sz="4" w:space="1" w:color="auto"/>
        </w:pBdr>
        <w:spacing w:before="120"/>
        <w:jc w:val="both"/>
        <w:rPr>
          <w:rFonts w:ascii="Book Antiqua" w:hAnsi="Book Antiqua"/>
          <w:sz w:val="22"/>
          <w:szCs w:val="22"/>
        </w:rPr>
      </w:pPr>
      <w:r w:rsidRPr="00017A7A">
        <w:rPr>
          <w:rFonts w:ascii="Book Antiqua" w:hAnsi="Book Antiqua"/>
          <w:b/>
          <w:sz w:val="22"/>
          <w:szCs w:val="22"/>
        </w:rPr>
        <w:t>Board of Adjustment Direction:</w:t>
      </w:r>
      <w:r w:rsidRPr="00017A7A">
        <w:rPr>
          <w:rFonts w:ascii="Book Antiqua" w:hAnsi="Book Antiqua"/>
          <w:sz w:val="22"/>
          <w:szCs w:val="22"/>
        </w:rPr>
        <w:t xml:space="preserve"> The Board of Adjustment can approve the request, deny the request, or table the request if additional information is needed. If the decision is for approval or denial, findings of fact should be cited.</w:t>
      </w:r>
    </w:p>
    <w:p w:rsidR="00BF4FC4" w:rsidRPr="00017A7A" w:rsidRDefault="00BF4FC4" w:rsidP="00BB5D9A">
      <w:pPr>
        <w:spacing w:before="120"/>
        <w:jc w:val="both"/>
        <w:rPr>
          <w:rFonts w:ascii="Book Antiqua" w:hAnsi="Book Antiqua"/>
          <w:sz w:val="22"/>
          <w:szCs w:val="22"/>
        </w:rPr>
      </w:pPr>
    </w:p>
    <w:p w:rsidR="00BF4FC4" w:rsidRPr="00017A7A" w:rsidRDefault="00BF4FC4" w:rsidP="00BB5D9A">
      <w:pPr>
        <w:pBdr>
          <w:top w:val="single" w:sz="4" w:space="1" w:color="auto"/>
        </w:pBdr>
        <w:spacing w:before="120"/>
        <w:jc w:val="both"/>
        <w:rPr>
          <w:rFonts w:ascii="Book Antiqua" w:hAnsi="Book Antiqua"/>
          <w:sz w:val="22"/>
          <w:szCs w:val="22"/>
        </w:rPr>
      </w:pPr>
      <w:r w:rsidRPr="00017A7A">
        <w:rPr>
          <w:rFonts w:ascii="Book Antiqua" w:hAnsi="Book Antiqua"/>
          <w:b/>
          <w:sz w:val="22"/>
          <w:szCs w:val="22"/>
        </w:rPr>
        <w:t>Staff Comments:</w:t>
      </w:r>
      <w:r w:rsidRPr="00017A7A">
        <w:rPr>
          <w:rFonts w:ascii="Book Antiqua" w:hAnsi="Book Antiqua"/>
          <w:sz w:val="22"/>
          <w:szCs w:val="22"/>
        </w:rPr>
        <w:t xml:space="preserve">  </w:t>
      </w:r>
    </w:p>
    <w:p w:rsidR="0079375D" w:rsidRPr="00017A7A" w:rsidRDefault="0079375D" w:rsidP="00BB5D9A">
      <w:pPr>
        <w:numPr>
          <w:ilvl w:val="0"/>
          <w:numId w:val="38"/>
        </w:numPr>
        <w:spacing w:before="120"/>
        <w:jc w:val="both"/>
        <w:rPr>
          <w:rFonts w:ascii="Book Antiqua" w:hAnsi="Book Antiqua"/>
          <w:sz w:val="22"/>
          <w:szCs w:val="22"/>
        </w:rPr>
      </w:pPr>
      <w:r w:rsidRPr="00017A7A">
        <w:rPr>
          <w:rFonts w:ascii="Book Antiqua" w:hAnsi="Book Antiqua"/>
          <w:sz w:val="22"/>
          <w:szCs w:val="22"/>
        </w:rPr>
        <w:t>Lot size issues:</w:t>
      </w:r>
    </w:p>
    <w:p w:rsidR="00823264" w:rsidRPr="00017A7A" w:rsidRDefault="0079375D" w:rsidP="00823264">
      <w:pPr>
        <w:numPr>
          <w:ilvl w:val="1"/>
          <w:numId w:val="38"/>
        </w:numPr>
        <w:spacing w:before="120"/>
        <w:jc w:val="both"/>
        <w:rPr>
          <w:rFonts w:ascii="Book Antiqua" w:hAnsi="Book Antiqua"/>
          <w:sz w:val="22"/>
          <w:szCs w:val="22"/>
        </w:rPr>
      </w:pPr>
      <w:r w:rsidRPr="00017A7A">
        <w:rPr>
          <w:rFonts w:ascii="Book Antiqua" w:hAnsi="Book Antiqua"/>
          <w:sz w:val="22"/>
          <w:szCs w:val="22"/>
        </w:rPr>
        <w:t xml:space="preserve">It is clear that the lot does not meet the minimum required to create a PUD. </w:t>
      </w:r>
      <w:r w:rsidR="00823264" w:rsidRPr="00017A7A">
        <w:rPr>
          <w:rFonts w:ascii="Book Antiqua" w:hAnsi="Book Antiqua"/>
          <w:sz w:val="22"/>
          <w:szCs w:val="22"/>
        </w:rPr>
        <w:t>As such, it is difficult to justify a variance to allow for a PUD on less than 2.5 acres as the primary argument for a practical difficulty (i.e. "we don't have 2.5 acres) could be used by every property owner who doesn't have 2.5 acres).</w:t>
      </w:r>
    </w:p>
    <w:p w:rsidR="0079375D" w:rsidRPr="00017A7A" w:rsidRDefault="00823264" w:rsidP="00823264">
      <w:pPr>
        <w:numPr>
          <w:ilvl w:val="1"/>
          <w:numId w:val="38"/>
        </w:numPr>
        <w:spacing w:before="120"/>
        <w:jc w:val="both"/>
        <w:rPr>
          <w:rFonts w:ascii="Book Antiqua" w:hAnsi="Book Antiqua"/>
          <w:sz w:val="22"/>
          <w:szCs w:val="22"/>
        </w:rPr>
      </w:pPr>
      <w:r w:rsidRPr="00017A7A">
        <w:rPr>
          <w:rFonts w:ascii="Book Antiqua" w:hAnsi="Book Antiqua"/>
          <w:sz w:val="22"/>
          <w:szCs w:val="22"/>
        </w:rPr>
        <w:t>However, t</w:t>
      </w:r>
      <w:r w:rsidR="0079375D" w:rsidRPr="00017A7A">
        <w:rPr>
          <w:rFonts w:ascii="Book Antiqua" w:hAnsi="Book Antiqua"/>
          <w:sz w:val="22"/>
          <w:szCs w:val="22"/>
        </w:rPr>
        <w:t xml:space="preserve">here is a unique situation here where the applicant for this PUD was also the applicant for the approved PUD across the road to the east. If this current proposal is treated as an extension of the previous development, it could be argued that the development, as a whole, meets the minimum requirement for 2.5 acres (the other property </w:t>
      </w:r>
      <w:r w:rsidRPr="00017A7A">
        <w:rPr>
          <w:rFonts w:ascii="Book Antiqua" w:hAnsi="Book Antiqua"/>
          <w:sz w:val="22"/>
          <w:szCs w:val="22"/>
        </w:rPr>
        <w:t>is approx. 3.49 acres in size by itself).</w:t>
      </w:r>
    </w:p>
    <w:p w:rsidR="00823264" w:rsidRPr="00017A7A" w:rsidRDefault="00823264" w:rsidP="00BB5D9A">
      <w:pPr>
        <w:numPr>
          <w:ilvl w:val="0"/>
          <w:numId w:val="38"/>
        </w:numPr>
        <w:spacing w:before="120"/>
        <w:jc w:val="both"/>
        <w:rPr>
          <w:rFonts w:ascii="Book Antiqua" w:hAnsi="Book Antiqua"/>
          <w:sz w:val="22"/>
          <w:szCs w:val="22"/>
        </w:rPr>
      </w:pPr>
      <w:r w:rsidRPr="00017A7A">
        <w:rPr>
          <w:rFonts w:ascii="Book Antiqua" w:hAnsi="Book Antiqua"/>
          <w:sz w:val="22"/>
          <w:szCs w:val="22"/>
        </w:rPr>
        <w:t>Open space issues:</w:t>
      </w:r>
    </w:p>
    <w:p w:rsidR="00823264" w:rsidRPr="00017A7A" w:rsidRDefault="00823264" w:rsidP="00823264">
      <w:pPr>
        <w:numPr>
          <w:ilvl w:val="1"/>
          <w:numId w:val="38"/>
        </w:numPr>
        <w:spacing w:before="120"/>
        <w:jc w:val="both"/>
        <w:rPr>
          <w:rFonts w:ascii="Book Antiqua" w:hAnsi="Book Antiqua"/>
          <w:sz w:val="22"/>
          <w:szCs w:val="22"/>
        </w:rPr>
      </w:pPr>
      <w:r w:rsidRPr="00017A7A">
        <w:rPr>
          <w:rFonts w:ascii="Book Antiqua" w:hAnsi="Book Antiqua"/>
          <w:sz w:val="22"/>
          <w:szCs w:val="22"/>
        </w:rPr>
        <w:t>It is clear, that by the Township's method for calculating open space, the proposal does not meet the minimum required (29% vs. required 50%). As such, it is difficult to justify a variance to allow for lesser open space because the primary argument for a practical difficulty (i.e. "there is no reasonable way for us to achieve 50% open space without eliminating proposed dwelling units to the point where it doesn't make sense for the development to occur") could be used by every property owner that doesn't meet open space requirements.</w:t>
      </w:r>
    </w:p>
    <w:p w:rsidR="00B449B2" w:rsidRPr="00017A7A" w:rsidRDefault="00823264" w:rsidP="00823264">
      <w:pPr>
        <w:numPr>
          <w:ilvl w:val="1"/>
          <w:numId w:val="38"/>
        </w:numPr>
        <w:spacing w:before="120"/>
        <w:jc w:val="both"/>
        <w:rPr>
          <w:rFonts w:ascii="Book Antiqua" w:hAnsi="Book Antiqua"/>
          <w:sz w:val="22"/>
          <w:szCs w:val="22"/>
        </w:rPr>
      </w:pPr>
      <w:r w:rsidRPr="00017A7A">
        <w:rPr>
          <w:rFonts w:ascii="Book Antiqua" w:hAnsi="Book Antiqua"/>
          <w:sz w:val="22"/>
          <w:szCs w:val="22"/>
        </w:rPr>
        <w:t>However,</w:t>
      </w:r>
      <w:r w:rsidR="00B449B2" w:rsidRPr="00017A7A">
        <w:rPr>
          <w:rFonts w:ascii="Book Antiqua" w:hAnsi="Book Antiqua"/>
          <w:sz w:val="22"/>
          <w:szCs w:val="22"/>
        </w:rPr>
        <w:t xml:space="preserve"> there are several relevant factors that could be </w:t>
      </w:r>
      <w:r w:rsidRPr="00017A7A">
        <w:rPr>
          <w:rFonts w:ascii="Book Antiqua" w:hAnsi="Book Antiqua"/>
          <w:sz w:val="22"/>
          <w:szCs w:val="22"/>
        </w:rPr>
        <w:t xml:space="preserve">discussed </w:t>
      </w:r>
      <w:r w:rsidR="00B449B2" w:rsidRPr="00017A7A">
        <w:rPr>
          <w:rFonts w:ascii="Book Antiqua" w:hAnsi="Book Antiqua"/>
          <w:sz w:val="22"/>
          <w:szCs w:val="22"/>
        </w:rPr>
        <w:t>as potential justification for a variance:</w:t>
      </w:r>
    </w:p>
    <w:p w:rsidR="00B449B2" w:rsidRPr="00017A7A" w:rsidRDefault="00B449B2" w:rsidP="00B449B2">
      <w:pPr>
        <w:numPr>
          <w:ilvl w:val="2"/>
          <w:numId w:val="38"/>
        </w:numPr>
        <w:spacing w:before="120"/>
        <w:jc w:val="both"/>
        <w:rPr>
          <w:rFonts w:ascii="Book Antiqua" w:hAnsi="Book Antiqua"/>
          <w:sz w:val="22"/>
          <w:szCs w:val="22"/>
        </w:rPr>
      </w:pPr>
      <w:r w:rsidRPr="00017A7A">
        <w:rPr>
          <w:rFonts w:ascii="Book Antiqua" w:hAnsi="Book Antiqua"/>
          <w:sz w:val="22"/>
          <w:szCs w:val="22"/>
        </w:rPr>
        <w:t>The Township Zoning Ordinance calculation that excludes 25 feet around all structures and along public right-of-way is more restrictive than Douglas County’s ordinance which does not make this exception in the open space calculation. The County would not require a variance.</w:t>
      </w:r>
    </w:p>
    <w:p w:rsidR="00B449B2" w:rsidRPr="00017A7A" w:rsidRDefault="00B449B2" w:rsidP="00017A7A">
      <w:pPr>
        <w:numPr>
          <w:ilvl w:val="2"/>
          <w:numId w:val="38"/>
        </w:numPr>
        <w:spacing w:before="120"/>
        <w:jc w:val="both"/>
        <w:rPr>
          <w:rFonts w:ascii="Book Antiqua" w:hAnsi="Book Antiqua"/>
          <w:sz w:val="22"/>
          <w:szCs w:val="22"/>
        </w:rPr>
      </w:pPr>
      <w:r w:rsidRPr="00017A7A">
        <w:rPr>
          <w:rFonts w:ascii="Book Antiqua" w:hAnsi="Book Antiqua"/>
          <w:sz w:val="22"/>
          <w:szCs w:val="22"/>
        </w:rPr>
        <w:t>The purpose of the Township's more restrictive open space calculation, in Staff's recollection, was to ensure that open space was primarily made of large contiguous areas that would serve a purpose for recreational use, wildlife habitat, septic systems, etc.</w:t>
      </w:r>
      <w:r w:rsidR="00017A7A">
        <w:rPr>
          <w:rFonts w:ascii="Book Antiqua" w:hAnsi="Book Antiqua"/>
          <w:sz w:val="22"/>
          <w:szCs w:val="22"/>
        </w:rPr>
        <w:t xml:space="preserve"> This particular property would not likely create significant recreational areas or wildlife habitat and does not need area for septic systems – regardless of whether it met the 2.5 acre minimum or not.</w:t>
      </w:r>
    </w:p>
    <w:p w:rsidR="00B449B2" w:rsidRPr="00017A7A" w:rsidRDefault="00B449B2" w:rsidP="00B449B2">
      <w:pPr>
        <w:numPr>
          <w:ilvl w:val="2"/>
          <w:numId w:val="38"/>
        </w:numPr>
        <w:spacing w:before="120"/>
        <w:jc w:val="both"/>
        <w:rPr>
          <w:rFonts w:ascii="Book Antiqua" w:hAnsi="Book Antiqua"/>
          <w:sz w:val="22"/>
          <w:szCs w:val="22"/>
        </w:rPr>
      </w:pPr>
      <w:r w:rsidRPr="00017A7A">
        <w:rPr>
          <w:rFonts w:ascii="Book Antiqua" w:hAnsi="Book Antiqua"/>
          <w:sz w:val="22"/>
          <w:szCs w:val="22"/>
        </w:rPr>
        <w:t>The requirements for open space in PUDs come largely from DNR regulations, which requires open space as a way to help protect wildlife habitat, sensitive natural features, or to provide large recreational areas.</w:t>
      </w:r>
      <w:r w:rsidR="00434E20" w:rsidRPr="00017A7A">
        <w:rPr>
          <w:rFonts w:ascii="Book Antiqua" w:hAnsi="Book Antiqua"/>
          <w:sz w:val="22"/>
          <w:szCs w:val="22"/>
        </w:rPr>
        <w:t xml:space="preserve"> The property where the PUD is proposed is not within a shoreland area (it is more than 1,800 feet from the nearest lake) and there are no significant natural features on the property that would need special protection.</w:t>
      </w:r>
    </w:p>
    <w:p w:rsidR="00434E20" w:rsidRPr="00017A7A" w:rsidRDefault="00B449B2" w:rsidP="00B449B2">
      <w:pPr>
        <w:numPr>
          <w:ilvl w:val="2"/>
          <w:numId w:val="38"/>
        </w:numPr>
        <w:spacing w:before="120"/>
        <w:jc w:val="both"/>
        <w:rPr>
          <w:rFonts w:ascii="Book Antiqua" w:hAnsi="Book Antiqua"/>
          <w:sz w:val="22"/>
          <w:szCs w:val="22"/>
        </w:rPr>
      </w:pPr>
      <w:r w:rsidRPr="00017A7A">
        <w:rPr>
          <w:rFonts w:ascii="Book Antiqua" w:hAnsi="Book Antiqua"/>
          <w:sz w:val="22"/>
          <w:szCs w:val="22"/>
        </w:rPr>
        <w:t>As discussed above</w:t>
      </w:r>
      <w:r w:rsidR="00823264" w:rsidRPr="00017A7A">
        <w:rPr>
          <w:rFonts w:ascii="Book Antiqua" w:hAnsi="Book Antiqua"/>
          <w:sz w:val="22"/>
          <w:szCs w:val="22"/>
        </w:rPr>
        <w:t>, if the current proposal is treated as an extension of the "Lakecrest Townhome" development across the road, th</w:t>
      </w:r>
      <w:r w:rsidRPr="00017A7A">
        <w:rPr>
          <w:rFonts w:ascii="Book Antiqua" w:hAnsi="Book Antiqua"/>
          <w:sz w:val="22"/>
          <w:szCs w:val="22"/>
        </w:rPr>
        <w:t xml:space="preserve">e total combined amount of open space </w:t>
      </w:r>
      <w:r w:rsidR="00434E20" w:rsidRPr="00017A7A">
        <w:rPr>
          <w:rFonts w:ascii="Book Antiqua" w:hAnsi="Book Antiqua"/>
          <w:sz w:val="22"/>
          <w:szCs w:val="22"/>
        </w:rPr>
        <w:t xml:space="preserve">using the Township's required method </w:t>
      </w:r>
      <w:r w:rsidRPr="00017A7A">
        <w:rPr>
          <w:rFonts w:ascii="Book Antiqua" w:hAnsi="Book Antiqua"/>
          <w:sz w:val="22"/>
          <w:szCs w:val="22"/>
        </w:rPr>
        <w:t>would equate to 36% open space</w:t>
      </w:r>
      <w:r w:rsidR="00434E20" w:rsidRPr="00017A7A">
        <w:rPr>
          <w:rFonts w:ascii="Book Antiqua" w:hAnsi="Book Antiqua"/>
          <w:sz w:val="22"/>
          <w:szCs w:val="22"/>
        </w:rPr>
        <w:t xml:space="preserve"> (min. 50% required)</w:t>
      </w:r>
      <w:r w:rsidRPr="00017A7A">
        <w:rPr>
          <w:rFonts w:ascii="Book Antiqua" w:hAnsi="Book Antiqua"/>
          <w:sz w:val="22"/>
          <w:szCs w:val="22"/>
        </w:rPr>
        <w:t>.</w:t>
      </w:r>
      <w:r w:rsidR="00017A7A">
        <w:rPr>
          <w:rFonts w:ascii="Book Antiqua" w:hAnsi="Book Antiqua"/>
          <w:sz w:val="22"/>
          <w:szCs w:val="22"/>
        </w:rPr>
        <w:t xml:space="preserve"> </w:t>
      </w:r>
      <w:r w:rsidR="00434E20" w:rsidRPr="00017A7A">
        <w:rPr>
          <w:rFonts w:ascii="Book Antiqua" w:hAnsi="Book Antiqua"/>
          <w:sz w:val="22"/>
          <w:szCs w:val="22"/>
        </w:rPr>
        <w:t>At the time that the "Lakecrest Townhomes" development was approved</w:t>
      </w:r>
      <w:r w:rsidR="00017A7A">
        <w:rPr>
          <w:rFonts w:ascii="Book Antiqua" w:hAnsi="Book Antiqua"/>
          <w:sz w:val="22"/>
          <w:szCs w:val="22"/>
        </w:rPr>
        <w:t xml:space="preserve"> however</w:t>
      </w:r>
      <w:r w:rsidR="00434E20" w:rsidRPr="00017A7A">
        <w:rPr>
          <w:rFonts w:ascii="Book Antiqua" w:hAnsi="Book Antiqua"/>
          <w:sz w:val="22"/>
          <w:szCs w:val="22"/>
        </w:rPr>
        <w:t>, the requirement for open space appears to have only been 25% instead of the current 50% requirement (Staff will be confirming the history of amendments relating to open space prior to the public hearing).</w:t>
      </w:r>
    </w:p>
    <w:p w:rsidR="00434E20" w:rsidRPr="00017A7A" w:rsidRDefault="00434E20" w:rsidP="00434E20">
      <w:pPr>
        <w:numPr>
          <w:ilvl w:val="1"/>
          <w:numId w:val="38"/>
        </w:numPr>
        <w:spacing w:before="120"/>
        <w:jc w:val="both"/>
        <w:rPr>
          <w:rFonts w:ascii="Book Antiqua" w:hAnsi="Book Antiqua"/>
          <w:sz w:val="22"/>
          <w:szCs w:val="22"/>
        </w:rPr>
      </w:pPr>
      <w:r w:rsidRPr="00017A7A">
        <w:rPr>
          <w:rFonts w:ascii="Book Antiqua" w:hAnsi="Book Antiqua"/>
          <w:sz w:val="22"/>
          <w:szCs w:val="22"/>
        </w:rPr>
        <w:t xml:space="preserve">General comments: </w:t>
      </w:r>
    </w:p>
    <w:p w:rsidR="00434E20" w:rsidRPr="00017A7A" w:rsidRDefault="00434E20" w:rsidP="00434E20">
      <w:pPr>
        <w:numPr>
          <w:ilvl w:val="2"/>
          <w:numId w:val="38"/>
        </w:numPr>
        <w:spacing w:before="120"/>
        <w:jc w:val="both"/>
        <w:rPr>
          <w:rFonts w:ascii="Book Antiqua" w:hAnsi="Book Antiqua"/>
          <w:sz w:val="22"/>
          <w:szCs w:val="22"/>
        </w:rPr>
      </w:pPr>
      <w:r w:rsidRPr="00017A7A">
        <w:rPr>
          <w:rFonts w:ascii="Book Antiqua" w:hAnsi="Book Antiqua"/>
          <w:sz w:val="22"/>
          <w:szCs w:val="22"/>
        </w:rPr>
        <w:t>The primary concern of Staff with this application is that, even if the Township feels the development is consistent with what it is seeking in development of properties in this area and should be approved, it is difficult to show how this property – on its own – meets the criteria required for a variance approval. Granting a variance to the minimum lot size and open space requirements would appear to set a precedent that would make it difficult to deny similar applications in the future on other properties.</w:t>
      </w:r>
    </w:p>
    <w:p w:rsidR="00434E20" w:rsidRPr="00017A7A" w:rsidRDefault="00434E20" w:rsidP="00434E20">
      <w:pPr>
        <w:numPr>
          <w:ilvl w:val="2"/>
          <w:numId w:val="38"/>
        </w:numPr>
        <w:spacing w:before="120"/>
        <w:jc w:val="both"/>
        <w:rPr>
          <w:rFonts w:ascii="Book Antiqua" w:hAnsi="Book Antiqua"/>
          <w:sz w:val="22"/>
          <w:szCs w:val="22"/>
        </w:rPr>
      </w:pPr>
      <w:r w:rsidRPr="00017A7A">
        <w:rPr>
          <w:rFonts w:ascii="Book Antiqua" w:hAnsi="Book Antiqua"/>
          <w:sz w:val="22"/>
          <w:szCs w:val="22"/>
        </w:rPr>
        <w:t>Considering the development an extension of the "Lakecrest Townhomes" development to the east could address the minimum lot size issue, but would not address the open space requirement.</w:t>
      </w:r>
    </w:p>
    <w:p w:rsidR="003173FB" w:rsidRPr="00017A7A" w:rsidRDefault="00434E20" w:rsidP="00434E20">
      <w:pPr>
        <w:numPr>
          <w:ilvl w:val="2"/>
          <w:numId w:val="38"/>
        </w:numPr>
        <w:spacing w:before="120"/>
        <w:jc w:val="both"/>
        <w:rPr>
          <w:rFonts w:ascii="Book Antiqua" w:hAnsi="Book Antiqua"/>
          <w:sz w:val="22"/>
          <w:szCs w:val="22"/>
        </w:rPr>
      </w:pPr>
      <w:r w:rsidRPr="00017A7A">
        <w:rPr>
          <w:rFonts w:ascii="Book Antiqua" w:hAnsi="Book Antiqua"/>
          <w:sz w:val="22"/>
          <w:szCs w:val="22"/>
        </w:rPr>
        <w:t xml:space="preserve">The Township could consider an approval of a variance related to lot size (using the fact that it is essentially an extension of the original "Lakecrest Towhomes" PUD development), but deny the variance related to the open space requirement (due to a lack of an established practical difficulty). </w:t>
      </w:r>
    </w:p>
    <w:p w:rsidR="00434E20" w:rsidRPr="00017A7A" w:rsidRDefault="003173FB" w:rsidP="00434E20">
      <w:pPr>
        <w:numPr>
          <w:ilvl w:val="2"/>
          <w:numId w:val="38"/>
        </w:numPr>
        <w:spacing w:before="120"/>
        <w:jc w:val="both"/>
        <w:rPr>
          <w:rFonts w:ascii="Book Antiqua" w:hAnsi="Book Antiqua"/>
          <w:sz w:val="22"/>
          <w:szCs w:val="22"/>
        </w:rPr>
      </w:pPr>
      <w:r w:rsidRPr="00017A7A">
        <w:rPr>
          <w:rFonts w:ascii="Book Antiqua" w:hAnsi="Book Antiqua"/>
          <w:sz w:val="22"/>
          <w:szCs w:val="22"/>
        </w:rPr>
        <w:t>I</w:t>
      </w:r>
      <w:r w:rsidR="00434E20" w:rsidRPr="00017A7A">
        <w:rPr>
          <w:rFonts w:ascii="Book Antiqua" w:hAnsi="Book Antiqua"/>
          <w:sz w:val="22"/>
          <w:szCs w:val="22"/>
        </w:rPr>
        <w:t>f the Township feels that its method for calculating open space is too restrictive, or the amount of open space required is too restrictive</w:t>
      </w:r>
      <w:r w:rsidRPr="00017A7A">
        <w:rPr>
          <w:rFonts w:ascii="Book Antiqua" w:hAnsi="Book Antiqua"/>
          <w:sz w:val="22"/>
          <w:szCs w:val="22"/>
        </w:rPr>
        <w:t xml:space="preserve"> (particularly given that the property is not in a shoreland area)</w:t>
      </w:r>
      <w:r w:rsidR="00434E20" w:rsidRPr="00017A7A">
        <w:rPr>
          <w:rFonts w:ascii="Book Antiqua" w:hAnsi="Book Antiqua"/>
          <w:sz w:val="22"/>
          <w:szCs w:val="22"/>
        </w:rPr>
        <w:t xml:space="preserve">, </w:t>
      </w:r>
      <w:r w:rsidRPr="00017A7A">
        <w:rPr>
          <w:rFonts w:ascii="Book Antiqua" w:hAnsi="Book Antiqua"/>
          <w:sz w:val="22"/>
          <w:szCs w:val="22"/>
        </w:rPr>
        <w:t>the Town Board, the Planning Commission or the applicant,</w:t>
      </w:r>
      <w:r w:rsidR="00434E20" w:rsidRPr="00017A7A">
        <w:rPr>
          <w:rFonts w:ascii="Book Antiqua" w:hAnsi="Book Antiqua"/>
          <w:sz w:val="22"/>
          <w:szCs w:val="22"/>
        </w:rPr>
        <w:t xml:space="preserve"> could initiate a separate process to amend the ordinances so that at the time the applicant requests approval of the actual PUD and plat, it would have a variance for the lot size and not need a variance for the open space</w:t>
      </w:r>
      <w:r w:rsidRPr="00017A7A">
        <w:rPr>
          <w:rFonts w:ascii="Book Antiqua" w:hAnsi="Book Antiqua"/>
          <w:sz w:val="22"/>
          <w:szCs w:val="22"/>
        </w:rPr>
        <w:t xml:space="preserve"> (if it complied with any amended ordinance requirements)</w:t>
      </w:r>
      <w:r w:rsidR="00434E20" w:rsidRPr="00017A7A">
        <w:rPr>
          <w:rFonts w:ascii="Book Antiqua" w:hAnsi="Book Antiqua"/>
          <w:sz w:val="22"/>
          <w:szCs w:val="22"/>
        </w:rPr>
        <w:t>.</w:t>
      </w:r>
      <w:r w:rsidR="00017A7A">
        <w:rPr>
          <w:rFonts w:ascii="Book Antiqua" w:hAnsi="Book Antiqua"/>
          <w:sz w:val="22"/>
          <w:szCs w:val="22"/>
        </w:rPr>
        <w:t xml:space="preserve"> So long as any resulting ordinance were at least as restrictive as Douglas County, there would be no need to have such an application go through a County approval process.</w:t>
      </w:r>
    </w:p>
    <w:p w:rsidR="00BF4FC4" w:rsidRPr="00017A7A" w:rsidRDefault="00BF4FC4" w:rsidP="00BB5D9A">
      <w:pPr>
        <w:spacing w:before="120"/>
        <w:jc w:val="both"/>
        <w:rPr>
          <w:rFonts w:ascii="Book Antiqua" w:hAnsi="Book Antiqua"/>
          <w:b/>
          <w:sz w:val="22"/>
          <w:szCs w:val="22"/>
        </w:rPr>
      </w:pPr>
    </w:p>
    <w:p w:rsidR="00BF4FC4" w:rsidRPr="00017A7A" w:rsidRDefault="00BF4FC4" w:rsidP="00BB5D9A">
      <w:pPr>
        <w:pBdr>
          <w:top w:val="single" w:sz="4" w:space="1" w:color="auto"/>
        </w:pBdr>
        <w:spacing w:before="120"/>
        <w:jc w:val="both"/>
        <w:rPr>
          <w:rFonts w:ascii="Book Antiqua" w:hAnsi="Book Antiqua"/>
          <w:sz w:val="22"/>
          <w:szCs w:val="22"/>
        </w:rPr>
      </w:pPr>
      <w:r w:rsidRPr="00017A7A">
        <w:rPr>
          <w:rFonts w:ascii="Book Antiqua" w:hAnsi="Book Antiqua"/>
          <w:b/>
          <w:sz w:val="22"/>
          <w:szCs w:val="22"/>
        </w:rPr>
        <w:t>Staff Recommendation:</w:t>
      </w:r>
      <w:r w:rsidRPr="00017A7A">
        <w:rPr>
          <w:rFonts w:ascii="Book Antiqua" w:hAnsi="Book Antiqua"/>
          <w:sz w:val="22"/>
          <w:szCs w:val="22"/>
        </w:rPr>
        <w:t xml:space="preserve">  Based on the criteria by which the ordinance requires review of variance requests to the Subdivision Ordinance, Staff would recommend the following</w:t>
      </w:r>
      <w:r w:rsidR="00DE4BB3" w:rsidRPr="00017A7A">
        <w:rPr>
          <w:rFonts w:ascii="Book Antiqua" w:hAnsi="Book Antiqua"/>
          <w:sz w:val="22"/>
          <w:szCs w:val="22"/>
        </w:rPr>
        <w:t xml:space="preserve"> options</w:t>
      </w:r>
      <w:r w:rsidRPr="00017A7A">
        <w:rPr>
          <w:rFonts w:ascii="Book Antiqua" w:hAnsi="Book Antiqua"/>
          <w:sz w:val="22"/>
          <w:szCs w:val="22"/>
        </w:rPr>
        <w:t>:</w:t>
      </w:r>
    </w:p>
    <w:p w:rsidR="003173FB" w:rsidRPr="00017A7A" w:rsidRDefault="003173FB" w:rsidP="00BB5D9A">
      <w:pPr>
        <w:numPr>
          <w:ilvl w:val="0"/>
          <w:numId w:val="39"/>
        </w:numPr>
        <w:spacing w:before="120"/>
        <w:jc w:val="both"/>
        <w:rPr>
          <w:rFonts w:ascii="Book Antiqua" w:hAnsi="Book Antiqua"/>
          <w:sz w:val="22"/>
          <w:szCs w:val="22"/>
        </w:rPr>
      </w:pPr>
      <w:r w:rsidRPr="00017A7A">
        <w:rPr>
          <w:rFonts w:ascii="Book Antiqua" w:hAnsi="Book Antiqua"/>
          <w:b/>
          <w:sz w:val="22"/>
          <w:szCs w:val="22"/>
          <w:u w:val="single"/>
        </w:rPr>
        <w:t>Option 1</w:t>
      </w:r>
      <w:r w:rsidRPr="00017A7A">
        <w:rPr>
          <w:rFonts w:ascii="Book Antiqua" w:hAnsi="Book Antiqua"/>
          <w:b/>
          <w:sz w:val="22"/>
          <w:szCs w:val="22"/>
        </w:rPr>
        <w:t>: Deny both requested variances</w:t>
      </w:r>
      <w:r w:rsidRPr="00017A7A">
        <w:rPr>
          <w:rFonts w:ascii="Book Antiqua" w:hAnsi="Book Antiqua"/>
          <w:sz w:val="22"/>
          <w:szCs w:val="22"/>
        </w:rPr>
        <w:t xml:space="preserve"> due to lack of an established practical difficulty that is unique to the property itself and because the current landowners would still have reasonable use of their property without the variance (the construction of single-family homes). Approving the variance would create a precedent that would be unacceptable to the Township and would make the requirements for minimum lot size and open space meaningless.</w:t>
      </w:r>
    </w:p>
    <w:p w:rsidR="003173FB" w:rsidRPr="00017A7A" w:rsidRDefault="003173FB" w:rsidP="00BB5D9A">
      <w:pPr>
        <w:numPr>
          <w:ilvl w:val="0"/>
          <w:numId w:val="39"/>
        </w:numPr>
        <w:spacing w:before="120"/>
        <w:jc w:val="both"/>
        <w:rPr>
          <w:rFonts w:ascii="Book Antiqua" w:hAnsi="Book Antiqua"/>
          <w:sz w:val="22"/>
          <w:szCs w:val="22"/>
        </w:rPr>
      </w:pPr>
      <w:r w:rsidRPr="00017A7A">
        <w:rPr>
          <w:rFonts w:ascii="Book Antiqua" w:hAnsi="Book Antiqua"/>
          <w:b/>
          <w:sz w:val="22"/>
          <w:szCs w:val="22"/>
          <w:u w:val="single"/>
        </w:rPr>
        <w:t>Option 2</w:t>
      </w:r>
      <w:r w:rsidRPr="00017A7A">
        <w:rPr>
          <w:rFonts w:ascii="Book Antiqua" w:hAnsi="Book Antiqua"/>
          <w:b/>
          <w:sz w:val="22"/>
          <w:szCs w:val="22"/>
        </w:rPr>
        <w:t>:</w:t>
      </w:r>
      <w:r w:rsidRPr="00017A7A">
        <w:rPr>
          <w:rFonts w:ascii="Book Antiqua" w:hAnsi="Book Antiqua"/>
          <w:sz w:val="22"/>
          <w:szCs w:val="22"/>
        </w:rPr>
        <w:t xml:space="preserve"> </w:t>
      </w:r>
      <w:r w:rsidRPr="00017A7A">
        <w:rPr>
          <w:rFonts w:ascii="Book Antiqua" w:hAnsi="Book Antiqua"/>
          <w:b/>
          <w:sz w:val="22"/>
          <w:szCs w:val="22"/>
        </w:rPr>
        <w:t>Approve both requested variances</w:t>
      </w:r>
      <w:r w:rsidRPr="00017A7A">
        <w:rPr>
          <w:rFonts w:ascii="Book Antiqua" w:hAnsi="Book Antiqua"/>
          <w:sz w:val="22"/>
          <w:szCs w:val="22"/>
        </w:rPr>
        <w:t xml:space="preserve"> because;</w:t>
      </w:r>
    </w:p>
    <w:p w:rsidR="003173FB" w:rsidRPr="00017A7A" w:rsidRDefault="003173FB" w:rsidP="003173FB">
      <w:pPr>
        <w:numPr>
          <w:ilvl w:val="1"/>
          <w:numId w:val="39"/>
        </w:numPr>
        <w:spacing w:before="120"/>
        <w:jc w:val="both"/>
        <w:rPr>
          <w:rFonts w:ascii="Book Antiqua" w:hAnsi="Book Antiqua"/>
          <w:sz w:val="22"/>
          <w:szCs w:val="22"/>
        </w:rPr>
      </w:pPr>
      <w:r w:rsidRPr="00017A7A">
        <w:rPr>
          <w:rFonts w:ascii="Book Antiqua" w:hAnsi="Book Antiqua"/>
          <w:sz w:val="22"/>
          <w:szCs w:val="22"/>
        </w:rPr>
        <w:t>Lot size: The style and layout of the homes is consistent with the character of the other homes in the subdivision and because the proposed PUD effectively serves as an extension of the original "Lakecrest Townhomes" development which would mean that, in effect, the minimum lot size requirement has been met.</w:t>
      </w:r>
    </w:p>
    <w:p w:rsidR="00BF4FC4" w:rsidRPr="00017A7A" w:rsidRDefault="003173FB" w:rsidP="003173FB">
      <w:pPr>
        <w:numPr>
          <w:ilvl w:val="1"/>
          <w:numId w:val="39"/>
        </w:numPr>
        <w:spacing w:before="120"/>
        <w:jc w:val="both"/>
        <w:rPr>
          <w:rFonts w:ascii="Book Antiqua" w:hAnsi="Book Antiqua"/>
          <w:sz w:val="22"/>
          <w:szCs w:val="22"/>
        </w:rPr>
      </w:pPr>
      <w:r w:rsidRPr="00017A7A">
        <w:rPr>
          <w:rFonts w:ascii="Book Antiqua" w:hAnsi="Book Antiqua"/>
          <w:sz w:val="22"/>
          <w:szCs w:val="22"/>
        </w:rPr>
        <w:t xml:space="preserve">Open space: </w:t>
      </w:r>
      <w:r w:rsidR="00A308CA" w:rsidRPr="00017A7A">
        <w:rPr>
          <w:rFonts w:ascii="Book Antiqua" w:hAnsi="Book Antiqua"/>
          <w:sz w:val="22"/>
          <w:szCs w:val="22"/>
        </w:rPr>
        <w:t>Though it is less than what the ordinance requires according to the criteria for calculating open space,</w:t>
      </w:r>
      <w:r w:rsidR="00CA3240" w:rsidRPr="00017A7A">
        <w:rPr>
          <w:rFonts w:ascii="Book Antiqua" w:hAnsi="Book Antiqua"/>
          <w:sz w:val="22"/>
          <w:szCs w:val="22"/>
        </w:rPr>
        <w:t xml:space="preserve"> it is consistent with the county standard</w:t>
      </w:r>
      <w:r w:rsidRPr="00017A7A">
        <w:rPr>
          <w:rFonts w:ascii="Book Antiqua" w:hAnsi="Book Antiqua"/>
          <w:sz w:val="22"/>
          <w:szCs w:val="22"/>
        </w:rPr>
        <w:t xml:space="preserve"> and the applicant has no way to create the PUD without a variance to this requirement.</w:t>
      </w:r>
      <w:r w:rsidR="00CA3240" w:rsidRPr="00017A7A">
        <w:rPr>
          <w:rFonts w:ascii="Book Antiqua" w:hAnsi="Book Antiqua"/>
          <w:sz w:val="22"/>
          <w:szCs w:val="22"/>
        </w:rPr>
        <w:t xml:space="preserve"> </w:t>
      </w:r>
    </w:p>
    <w:p w:rsidR="00BF4FC4" w:rsidRPr="00017A7A" w:rsidRDefault="003173FB" w:rsidP="00BB5D9A">
      <w:pPr>
        <w:numPr>
          <w:ilvl w:val="0"/>
          <w:numId w:val="39"/>
        </w:numPr>
        <w:spacing w:before="120"/>
        <w:jc w:val="both"/>
        <w:rPr>
          <w:rFonts w:ascii="Book Antiqua" w:hAnsi="Book Antiqua"/>
          <w:sz w:val="22"/>
          <w:szCs w:val="22"/>
        </w:rPr>
      </w:pPr>
      <w:r w:rsidRPr="00017A7A">
        <w:rPr>
          <w:rFonts w:ascii="Book Antiqua" w:hAnsi="Book Antiqua"/>
          <w:b/>
          <w:sz w:val="22"/>
          <w:szCs w:val="22"/>
          <w:u w:val="single"/>
        </w:rPr>
        <w:t>Option 3</w:t>
      </w:r>
      <w:r w:rsidRPr="00017A7A">
        <w:rPr>
          <w:rFonts w:ascii="Book Antiqua" w:hAnsi="Book Antiqua"/>
          <w:sz w:val="22"/>
          <w:szCs w:val="22"/>
        </w:rPr>
        <w:t xml:space="preserve">: </w:t>
      </w:r>
      <w:r w:rsidRPr="00017A7A">
        <w:rPr>
          <w:rFonts w:ascii="Book Antiqua" w:hAnsi="Book Antiqua"/>
          <w:b/>
          <w:sz w:val="22"/>
          <w:szCs w:val="22"/>
        </w:rPr>
        <w:t xml:space="preserve">Approve the lot size variance, deny the open space variance and initiate an ordinance amendment hearing to </w:t>
      </w:r>
      <w:r w:rsidR="00017A7A">
        <w:rPr>
          <w:rFonts w:ascii="Book Antiqua" w:hAnsi="Book Antiqua"/>
          <w:b/>
          <w:sz w:val="22"/>
          <w:szCs w:val="22"/>
        </w:rPr>
        <w:t>consider amendments to</w:t>
      </w:r>
      <w:r w:rsidRPr="00017A7A">
        <w:rPr>
          <w:rFonts w:ascii="Book Antiqua" w:hAnsi="Book Antiqua"/>
          <w:b/>
          <w:sz w:val="22"/>
          <w:szCs w:val="22"/>
        </w:rPr>
        <w:t xml:space="preserve"> how open space is calculated and/or how much open space is required. </w:t>
      </w:r>
      <w:r w:rsidRPr="00017A7A">
        <w:rPr>
          <w:rFonts w:ascii="Book Antiqua" w:hAnsi="Book Antiqua"/>
          <w:sz w:val="22"/>
          <w:szCs w:val="22"/>
        </w:rPr>
        <w:t>The lot size variance could be approved based on the findings noted above in Option 2a</w:t>
      </w:r>
      <w:r w:rsidR="00017A7A" w:rsidRPr="00017A7A">
        <w:rPr>
          <w:rFonts w:ascii="Book Antiqua" w:hAnsi="Book Antiqua"/>
          <w:sz w:val="22"/>
          <w:szCs w:val="22"/>
        </w:rPr>
        <w:t>, while the open space requirement is denied for the reasons stated in Option 1. A separate discussion could be initiated to gather public input and decide if a less restrictive way of calculating open space or how much open space is required is acceptable to the Township (likely limiting the lesser restrictions to areas outside of shoreland).</w:t>
      </w:r>
    </w:p>
    <w:p w:rsidR="00017A7A" w:rsidRPr="00017A7A" w:rsidRDefault="00017A7A" w:rsidP="00BB5D9A">
      <w:pPr>
        <w:numPr>
          <w:ilvl w:val="0"/>
          <w:numId w:val="39"/>
        </w:numPr>
        <w:spacing w:before="120"/>
        <w:jc w:val="both"/>
        <w:rPr>
          <w:rFonts w:ascii="Book Antiqua" w:hAnsi="Book Antiqua"/>
          <w:sz w:val="22"/>
          <w:szCs w:val="22"/>
          <w:highlight w:val="yellow"/>
        </w:rPr>
        <w:sectPr w:rsidR="00017A7A" w:rsidRPr="00017A7A" w:rsidSect="00BF4FC4">
          <w:footerReference w:type="default" r:id="rId9"/>
          <w:pgSz w:w="12240" w:h="15840"/>
          <w:pgMar w:top="1440" w:right="1800" w:bottom="1440" w:left="1800" w:header="720" w:footer="720" w:gutter="0"/>
          <w:pgNumType w:start="1"/>
          <w:cols w:space="720"/>
          <w:docGrid w:linePitch="360"/>
        </w:sectPr>
      </w:pPr>
    </w:p>
    <w:p w:rsidR="00BF4FC4" w:rsidRPr="00017A7A" w:rsidRDefault="00BF4FC4" w:rsidP="00DE4BB3">
      <w:pPr>
        <w:spacing w:before="120"/>
        <w:ind w:left="720"/>
        <w:jc w:val="both"/>
        <w:rPr>
          <w:rFonts w:ascii="Book Antiqua" w:hAnsi="Book Antiqua"/>
          <w:sz w:val="22"/>
          <w:szCs w:val="22"/>
          <w:highlight w:val="yellow"/>
        </w:rPr>
      </w:pPr>
    </w:p>
    <w:sectPr w:rsidR="00BF4FC4" w:rsidRPr="00017A7A" w:rsidSect="00BF4FC4">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40" w:rsidRDefault="000B7940">
      <w:r>
        <w:separator/>
      </w:r>
    </w:p>
  </w:endnote>
  <w:endnote w:type="continuationSeparator" w:id="0">
    <w:p w:rsidR="000B7940" w:rsidRDefault="000B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FB" w:rsidRDefault="003173FB" w:rsidP="000932B7">
    <w:pPr>
      <w:pStyle w:val="Footer"/>
      <w:tabs>
        <w:tab w:val="clear" w:pos="4320"/>
        <w:tab w:val="clear" w:pos="8640"/>
        <w:tab w:val="right" w:pos="8280"/>
      </w:tabs>
      <w:ind w:right="360"/>
      <w:rPr>
        <w:rFonts w:ascii="Georgia" w:hAnsi="Georgia"/>
        <w:color w:val="333333"/>
        <w:sz w:val="18"/>
        <w:szCs w:val="18"/>
      </w:rPr>
    </w:pPr>
  </w:p>
  <w:p w:rsidR="003173FB" w:rsidRPr="00516D2E" w:rsidRDefault="003173FB" w:rsidP="000932B7">
    <w:pPr>
      <w:pStyle w:val="Footer"/>
      <w:tabs>
        <w:tab w:val="clear" w:pos="4320"/>
        <w:tab w:val="clear" w:pos="8640"/>
        <w:tab w:val="right" w:pos="8280"/>
      </w:tabs>
      <w:ind w:right="360"/>
      <w:rPr>
        <w:rFonts w:ascii="Georgia" w:hAnsi="Georgia"/>
        <w:color w:val="333333"/>
        <w:sz w:val="18"/>
        <w:szCs w:val="18"/>
      </w:rPr>
    </w:pPr>
    <w:r w:rsidRPr="00516D2E">
      <w:rPr>
        <w:rFonts w:ascii="Georgia" w:hAnsi="Georgia"/>
        <w:color w:val="333333"/>
        <w:sz w:val="18"/>
        <w:szCs w:val="18"/>
      </w:rPr>
      <w:t>Alexandria Township</w:t>
    </w:r>
    <w:r w:rsidRPr="00516D2E">
      <w:rPr>
        <w:rFonts w:ascii="Georgia" w:hAnsi="Georgia"/>
        <w:color w:val="333333"/>
        <w:sz w:val="18"/>
        <w:szCs w:val="18"/>
      </w:rPr>
      <w:tab/>
      <w:t xml:space="preserve">4(a) - </w:t>
    </w:r>
    <w:r w:rsidRPr="00516D2E">
      <w:rPr>
        <w:rStyle w:val="PageNumber"/>
        <w:rFonts w:ascii="Georgia" w:hAnsi="Georgia"/>
        <w:sz w:val="18"/>
        <w:szCs w:val="18"/>
      </w:rPr>
      <w:fldChar w:fldCharType="begin"/>
    </w:r>
    <w:r w:rsidRPr="00516D2E">
      <w:rPr>
        <w:rStyle w:val="PageNumber"/>
        <w:rFonts w:ascii="Georgia" w:hAnsi="Georgia"/>
        <w:sz w:val="18"/>
        <w:szCs w:val="18"/>
      </w:rPr>
      <w:instrText xml:space="preserve"> PAGE </w:instrText>
    </w:r>
    <w:r w:rsidRPr="00516D2E">
      <w:rPr>
        <w:rStyle w:val="PageNumber"/>
        <w:rFonts w:ascii="Georgia" w:hAnsi="Georgia"/>
        <w:sz w:val="18"/>
        <w:szCs w:val="18"/>
      </w:rPr>
      <w:fldChar w:fldCharType="separate"/>
    </w:r>
    <w:r w:rsidR="00CC6814">
      <w:rPr>
        <w:rStyle w:val="PageNumber"/>
        <w:rFonts w:ascii="Georgia" w:hAnsi="Georgia"/>
        <w:noProof/>
        <w:sz w:val="18"/>
        <w:szCs w:val="18"/>
      </w:rPr>
      <w:t>10</w:t>
    </w:r>
    <w:r w:rsidRPr="00516D2E">
      <w:rPr>
        <w:rStyle w:val="PageNumber"/>
        <w:rFonts w:ascii="Georgia" w:hAnsi="Georgia"/>
        <w:sz w:val="18"/>
        <w:szCs w:val="18"/>
      </w:rPr>
      <w:fldChar w:fldCharType="end"/>
    </w:r>
  </w:p>
  <w:p w:rsidR="003173FB" w:rsidRPr="005B64D6" w:rsidRDefault="003173FB" w:rsidP="000932B7">
    <w:pPr>
      <w:pStyle w:val="Footer"/>
      <w:rPr>
        <w:sz w:val="18"/>
        <w:szCs w:val="18"/>
      </w:rPr>
    </w:pPr>
    <w:r w:rsidRPr="00516D2E">
      <w:rPr>
        <w:rFonts w:ascii="Georgia" w:hAnsi="Georgia"/>
        <w:color w:val="333333"/>
        <w:sz w:val="18"/>
        <w:szCs w:val="18"/>
      </w:rPr>
      <w:t>February 21, 2018</w:t>
    </w:r>
  </w:p>
  <w:p w:rsidR="003173FB" w:rsidRDefault="00317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3FB" w:rsidRDefault="003173FB" w:rsidP="000932B7">
    <w:pPr>
      <w:pStyle w:val="Footer"/>
      <w:tabs>
        <w:tab w:val="clear" w:pos="4320"/>
        <w:tab w:val="clear" w:pos="8640"/>
        <w:tab w:val="right" w:pos="8280"/>
      </w:tabs>
      <w:ind w:right="360"/>
      <w:rPr>
        <w:rFonts w:ascii="Georgia" w:hAnsi="Georgia"/>
        <w:color w:val="333333"/>
        <w:sz w:val="18"/>
        <w:szCs w:val="18"/>
      </w:rPr>
    </w:pPr>
  </w:p>
  <w:p w:rsidR="003173FB" w:rsidRPr="005B64D6" w:rsidRDefault="003173FB" w:rsidP="000932B7">
    <w:pPr>
      <w:pStyle w:val="Footer"/>
      <w:tabs>
        <w:tab w:val="clear" w:pos="4320"/>
        <w:tab w:val="clear" w:pos="8640"/>
        <w:tab w:val="right" w:pos="8280"/>
      </w:tabs>
      <w:ind w:right="360"/>
      <w:rPr>
        <w:rFonts w:ascii="Georgia" w:hAnsi="Georgia"/>
        <w:color w:val="333333"/>
        <w:sz w:val="18"/>
        <w:szCs w:val="18"/>
      </w:rPr>
    </w:pPr>
    <w:r>
      <w:rPr>
        <w:rFonts w:ascii="Georgia" w:hAnsi="Georgia"/>
        <w:color w:val="333333"/>
        <w:sz w:val="18"/>
        <w:szCs w:val="18"/>
      </w:rPr>
      <w:t>Alexandria</w:t>
    </w:r>
    <w:r w:rsidRPr="005B64D6">
      <w:rPr>
        <w:rFonts w:ascii="Georgia" w:hAnsi="Georgia"/>
        <w:color w:val="333333"/>
        <w:sz w:val="18"/>
        <w:szCs w:val="18"/>
      </w:rPr>
      <w:t xml:space="preserve"> Township</w:t>
    </w:r>
    <w:r>
      <w:rPr>
        <w:rFonts w:ascii="Georgia" w:hAnsi="Georgia"/>
        <w:color w:val="333333"/>
        <w:sz w:val="18"/>
        <w:szCs w:val="18"/>
      </w:rPr>
      <w:tab/>
      <w:t>4(</w:t>
    </w:r>
    <w:r w:rsidRPr="001A74C5">
      <w:rPr>
        <w:rFonts w:ascii="Georgia" w:hAnsi="Georgia"/>
        <w:color w:val="333333"/>
        <w:sz w:val="18"/>
        <w:szCs w:val="18"/>
        <w:highlight w:val="yellow"/>
      </w:rPr>
      <w:t>d</w:t>
    </w:r>
    <w:r w:rsidRPr="005B64D6">
      <w:rPr>
        <w:rFonts w:ascii="Georgia" w:hAnsi="Georgia"/>
        <w:color w:val="333333"/>
        <w:sz w:val="18"/>
        <w:szCs w:val="18"/>
      </w:rPr>
      <w:t xml:space="preserve">) - </w:t>
    </w:r>
    <w:r w:rsidRPr="005B64D6">
      <w:rPr>
        <w:rStyle w:val="PageNumber"/>
        <w:rFonts w:ascii="Georgia" w:hAnsi="Georgia"/>
        <w:sz w:val="18"/>
        <w:szCs w:val="18"/>
      </w:rPr>
      <w:fldChar w:fldCharType="begin"/>
    </w:r>
    <w:r w:rsidRPr="005B64D6">
      <w:rPr>
        <w:rStyle w:val="PageNumber"/>
        <w:rFonts w:ascii="Georgia" w:hAnsi="Georgia"/>
        <w:sz w:val="18"/>
        <w:szCs w:val="18"/>
      </w:rPr>
      <w:instrText xml:space="preserve"> PAGE </w:instrText>
    </w:r>
    <w:r w:rsidRPr="005B64D6">
      <w:rPr>
        <w:rStyle w:val="PageNumber"/>
        <w:rFonts w:ascii="Georgia" w:hAnsi="Georgia"/>
        <w:sz w:val="18"/>
        <w:szCs w:val="18"/>
      </w:rPr>
      <w:fldChar w:fldCharType="separate"/>
    </w:r>
    <w:r w:rsidR="00017A7A">
      <w:rPr>
        <w:rStyle w:val="PageNumber"/>
        <w:rFonts w:ascii="Georgia" w:hAnsi="Georgia"/>
        <w:noProof/>
        <w:sz w:val="18"/>
        <w:szCs w:val="18"/>
      </w:rPr>
      <w:t>10</w:t>
    </w:r>
    <w:r w:rsidRPr="005B64D6">
      <w:rPr>
        <w:rStyle w:val="PageNumber"/>
        <w:rFonts w:ascii="Georgia" w:hAnsi="Georgia"/>
        <w:sz w:val="18"/>
        <w:szCs w:val="18"/>
      </w:rPr>
      <w:fldChar w:fldCharType="end"/>
    </w:r>
  </w:p>
  <w:p w:rsidR="003173FB" w:rsidRPr="005B64D6" w:rsidRDefault="003173FB" w:rsidP="000932B7">
    <w:pPr>
      <w:pStyle w:val="Footer"/>
      <w:rPr>
        <w:sz w:val="18"/>
        <w:szCs w:val="18"/>
      </w:rPr>
    </w:pPr>
    <w:r w:rsidRPr="001A74C5">
      <w:rPr>
        <w:rFonts w:ascii="Georgia" w:hAnsi="Georgia"/>
        <w:color w:val="333333"/>
        <w:sz w:val="18"/>
        <w:szCs w:val="18"/>
        <w:highlight w:val="yellow"/>
      </w:rPr>
      <w:t>August 11, 2015</w:t>
    </w:r>
  </w:p>
  <w:p w:rsidR="003173FB" w:rsidRDefault="00317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40" w:rsidRDefault="000B7940">
      <w:r>
        <w:separator/>
      </w:r>
    </w:p>
  </w:footnote>
  <w:footnote w:type="continuationSeparator" w:id="0">
    <w:p w:rsidR="000B7940" w:rsidRDefault="000B7940">
      <w:r>
        <w:continuationSeparator/>
      </w:r>
    </w:p>
  </w:footnote>
  <w:footnote w:id="1">
    <w:p w:rsidR="003173FB" w:rsidRDefault="003173FB" w:rsidP="00430E92">
      <w:pPr>
        <w:pStyle w:val="FootnoteText"/>
      </w:pPr>
      <w:r>
        <w:rPr>
          <w:rStyle w:val="FootnoteReference"/>
        </w:rPr>
        <w:footnoteRef/>
      </w:r>
      <w:r>
        <w:t xml:space="preserve"> Amended 5/21/2007 (Resolution #07-06)</w:t>
      </w:r>
    </w:p>
  </w:footnote>
  <w:footnote w:id="2">
    <w:p w:rsidR="003173FB" w:rsidRDefault="003173FB" w:rsidP="00430E92">
      <w:pPr>
        <w:pStyle w:val="FootnoteText"/>
      </w:pPr>
      <w:r>
        <w:rPr>
          <w:rStyle w:val="FootnoteReference"/>
        </w:rPr>
        <w:footnoteRef/>
      </w:r>
      <w:r>
        <w:t xml:space="preserve"> Amended 12/17/2007 (Resolution #07-20)</w:t>
      </w:r>
    </w:p>
  </w:footnote>
  <w:footnote w:id="3">
    <w:p w:rsidR="003173FB" w:rsidRDefault="003173FB" w:rsidP="00430E92">
      <w:pPr>
        <w:pStyle w:val="FootnoteText"/>
      </w:pPr>
      <w:r>
        <w:rPr>
          <w:rStyle w:val="FootnoteReference"/>
        </w:rPr>
        <w:footnoteRef/>
      </w:r>
      <w:r>
        <w:t xml:space="preserve"> Amended 5/21/2007 (Resolution #07-06)</w:t>
      </w:r>
    </w:p>
  </w:footnote>
  <w:footnote w:id="4">
    <w:p w:rsidR="003173FB" w:rsidRDefault="003173FB" w:rsidP="00430E92">
      <w:pPr>
        <w:pStyle w:val="FootnoteText"/>
      </w:pPr>
      <w:r>
        <w:rPr>
          <w:rStyle w:val="FootnoteReference"/>
        </w:rPr>
        <w:footnoteRef/>
      </w:r>
      <w:r>
        <w:t xml:space="preserve"> Amended 12/17/2007 (Resolution #07-20); Amended 12/15/08 (Resolution #08-16)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3"/>
    <w:multiLevelType w:val="multilevel"/>
    <w:tmpl w:val="00000000"/>
    <w:lvl w:ilvl="0">
      <w:start w:val="1"/>
      <w:numFmt w:val="lowerLetter"/>
      <w:pStyle w:val="Level1"/>
      <w:lvlText w:val="%1."/>
      <w:lvlJc w:val="left"/>
      <w:pPr>
        <w:tabs>
          <w:tab w:val="num" w:pos="2160"/>
        </w:tabs>
        <w:ind w:left="2160" w:hanging="720"/>
      </w:pPr>
    </w:lvl>
    <w:lvl w:ilvl="1">
      <w:start w:val="1"/>
      <w:numFmt w:val="lowerLetter"/>
      <w:pStyle w:val="Level2"/>
      <w:lvlText w:val="%2."/>
      <w:lvlJc w:val="left"/>
      <w:pPr>
        <w:tabs>
          <w:tab w:val="num" w:pos="2160"/>
        </w:tabs>
        <w:ind w:left="216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1">
    <w:nsid w:val="020C304E"/>
    <w:multiLevelType w:val="multilevel"/>
    <w:tmpl w:val="7F88068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1">
    <w:nsid w:val="0EE51050"/>
    <w:multiLevelType w:val="multilevel"/>
    <w:tmpl w:val="C92403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1">
    <w:nsid w:val="10FD5FDC"/>
    <w:multiLevelType w:val="multilevel"/>
    <w:tmpl w:val="7F8806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1">
    <w:nsid w:val="11274A02"/>
    <w:multiLevelType w:val="hybridMultilevel"/>
    <w:tmpl w:val="E8FE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70F32"/>
    <w:multiLevelType w:val="hybridMultilevel"/>
    <w:tmpl w:val="F52C401E"/>
    <w:lvl w:ilvl="0" w:tplc="6B6EB374">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1">
    <w:nsid w:val="20B862FF"/>
    <w:multiLevelType w:val="hybridMultilevel"/>
    <w:tmpl w:val="30386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21586CBA"/>
    <w:multiLevelType w:val="hybridMultilevel"/>
    <w:tmpl w:val="90C4292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1">
    <w:nsid w:val="264844BC"/>
    <w:multiLevelType w:val="hybridMultilevel"/>
    <w:tmpl w:val="400EC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D252AD5"/>
    <w:multiLevelType w:val="hybridMultilevel"/>
    <w:tmpl w:val="6E7C1598"/>
    <w:lvl w:ilvl="0" w:tplc="37DE9EFA">
      <w:start w:val="1"/>
      <w:numFmt w:val="lowerLetter"/>
      <w:lvlText w:val="(%1)"/>
      <w:lvlJc w:val="left"/>
      <w:pPr>
        <w:ind w:left="1771" w:hanging="36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10" w15:restartNumberingAfterBreak="1">
    <w:nsid w:val="2DB82CAD"/>
    <w:multiLevelType w:val="hybridMultilevel"/>
    <w:tmpl w:val="35DA7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04A4CC3"/>
    <w:multiLevelType w:val="multilevel"/>
    <w:tmpl w:val="7F8806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1">
    <w:nsid w:val="33B60F0E"/>
    <w:multiLevelType w:val="hybridMultilevel"/>
    <w:tmpl w:val="7A2C8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A6746A0"/>
    <w:multiLevelType w:val="hybridMultilevel"/>
    <w:tmpl w:val="FB521F5A"/>
    <w:lvl w:ilvl="0" w:tplc="1506E06A">
      <w:start w:val="1"/>
      <w:numFmt w:val="decimal"/>
      <w:lvlText w:val="(%1)"/>
      <w:lvlJc w:val="left"/>
      <w:pPr>
        <w:ind w:left="99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3BA86D0B"/>
    <w:multiLevelType w:val="multilevel"/>
    <w:tmpl w:val="3F9CC2D6"/>
    <w:lvl w:ilvl="0">
      <w:start w:val="1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1">
    <w:nsid w:val="3BF864C4"/>
    <w:multiLevelType w:val="hybridMultilevel"/>
    <w:tmpl w:val="E4A88F70"/>
    <w:lvl w:ilvl="0" w:tplc="6900C680">
      <w:start w:val="1"/>
      <w:numFmt w:val="bullet"/>
      <w:lvlText w:val=""/>
      <w:lvlJc w:val="left"/>
      <w:pPr>
        <w:tabs>
          <w:tab w:val="num" w:pos="720"/>
        </w:tabs>
        <w:ind w:left="720" w:hanging="360"/>
      </w:pPr>
      <w:rPr>
        <w:rFonts w:ascii="Symbol" w:hAnsi="Symbol" w:hint="default"/>
        <w:color w:val="A14F2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1">
    <w:nsid w:val="3C862642"/>
    <w:multiLevelType w:val="hybridMultilevel"/>
    <w:tmpl w:val="4560C330"/>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3F8C11B8"/>
    <w:multiLevelType w:val="hybridMultilevel"/>
    <w:tmpl w:val="C4B6050E"/>
    <w:lvl w:ilvl="0" w:tplc="20E45584">
      <w:start w:val="1"/>
      <w:numFmt w:val="bullet"/>
      <w:lvlText w:val=""/>
      <w:lvlJc w:val="left"/>
      <w:pPr>
        <w:tabs>
          <w:tab w:val="num" w:pos="360"/>
        </w:tabs>
        <w:ind w:left="360" w:hanging="360"/>
      </w:pPr>
      <w:rPr>
        <w:rFonts w:ascii="Symbol" w:hAnsi="Symbol" w:hint="default"/>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D0114"/>
    <w:multiLevelType w:val="hybridMultilevel"/>
    <w:tmpl w:val="FB2A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1">
    <w:nsid w:val="40386924"/>
    <w:multiLevelType w:val="singleLevel"/>
    <w:tmpl w:val="BA086EF6"/>
    <w:lvl w:ilvl="0">
      <w:start w:val="1"/>
      <w:numFmt w:val="decimal"/>
      <w:lvlText w:val="%1."/>
      <w:lvlJc w:val="left"/>
      <w:pPr>
        <w:tabs>
          <w:tab w:val="num" w:pos="1440"/>
        </w:tabs>
        <w:ind w:left="1440" w:hanging="720"/>
      </w:pPr>
      <w:rPr>
        <w:rFonts w:hint="default"/>
      </w:rPr>
    </w:lvl>
  </w:abstractNum>
  <w:abstractNum w:abstractNumId="20" w15:restartNumberingAfterBreak="1">
    <w:nsid w:val="41E813E9"/>
    <w:multiLevelType w:val="hybridMultilevel"/>
    <w:tmpl w:val="667E851A"/>
    <w:lvl w:ilvl="0" w:tplc="BDB2C6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1">
    <w:nsid w:val="449246C6"/>
    <w:multiLevelType w:val="hybridMultilevel"/>
    <w:tmpl w:val="A3349F3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1">
    <w:nsid w:val="49992746"/>
    <w:multiLevelType w:val="hybridMultilevel"/>
    <w:tmpl w:val="77EE7A86"/>
    <w:lvl w:ilvl="0" w:tplc="ECFE5300">
      <w:start w:val="1"/>
      <w:numFmt w:val="lowerLetter"/>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9E5DD0"/>
    <w:multiLevelType w:val="hybridMultilevel"/>
    <w:tmpl w:val="3F10B4A8"/>
    <w:lvl w:ilvl="0" w:tplc="20945562">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1">
    <w:nsid w:val="51BA02B2"/>
    <w:multiLevelType w:val="hybridMultilevel"/>
    <w:tmpl w:val="66CA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528753A1"/>
    <w:multiLevelType w:val="multilevel"/>
    <w:tmpl w:val="EA26556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1">
    <w:nsid w:val="52913981"/>
    <w:multiLevelType w:val="hybridMultilevel"/>
    <w:tmpl w:val="A834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57954A4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1">
    <w:nsid w:val="58BE3867"/>
    <w:multiLevelType w:val="hybridMultilevel"/>
    <w:tmpl w:val="1F52F1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1">
    <w:nsid w:val="59607026"/>
    <w:multiLevelType w:val="hybridMultilevel"/>
    <w:tmpl w:val="64686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1">
    <w:nsid w:val="59B656B5"/>
    <w:multiLevelType w:val="hybridMultilevel"/>
    <w:tmpl w:val="748A6F00"/>
    <w:lvl w:ilvl="0" w:tplc="F14EF2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1">
    <w:nsid w:val="5BDA7472"/>
    <w:multiLevelType w:val="hybridMultilevel"/>
    <w:tmpl w:val="8C60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0BE18F4"/>
    <w:multiLevelType w:val="hybridMultilevel"/>
    <w:tmpl w:val="DE842896"/>
    <w:lvl w:ilvl="0" w:tplc="3F82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7934D1A"/>
    <w:multiLevelType w:val="hybridMultilevel"/>
    <w:tmpl w:val="3EC67E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1">
    <w:nsid w:val="6E7128C6"/>
    <w:multiLevelType w:val="multilevel"/>
    <w:tmpl w:val="7F8806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1">
    <w:nsid w:val="6F100745"/>
    <w:multiLevelType w:val="hybridMultilevel"/>
    <w:tmpl w:val="35DA7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7107753D"/>
    <w:multiLevelType w:val="hybridMultilevel"/>
    <w:tmpl w:val="F8244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1">
    <w:nsid w:val="729F20C9"/>
    <w:multiLevelType w:val="hybridMultilevel"/>
    <w:tmpl w:val="0F6299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15:restartNumberingAfterBreak="0">
    <w:nsid w:val="741F1F07"/>
    <w:multiLevelType w:val="hybridMultilevel"/>
    <w:tmpl w:val="0B263136"/>
    <w:lvl w:ilvl="0" w:tplc="FB1CE2C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7D32888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1">
    <w:nsid w:val="74D7228A"/>
    <w:multiLevelType w:val="hybridMultilevel"/>
    <w:tmpl w:val="62DC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1">
    <w:nsid w:val="759B07C6"/>
    <w:multiLevelType w:val="multilevel"/>
    <w:tmpl w:val="EA26556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1">
    <w:nsid w:val="76B2660B"/>
    <w:multiLevelType w:val="hybridMultilevel"/>
    <w:tmpl w:val="8F1EF440"/>
    <w:lvl w:ilvl="0" w:tplc="20DE41E0">
      <w:start w:val="1"/>
      <w:numFmt w:val="lowerLetter"/>
      <w:lvlText w:val="(%1)"/>
      <w:lvlJc w:val="left"/>
      <w:pPr>
        <w:ind w:left="135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1">
    <w:nsid w:val="76B4390A"/>
    <w:multiLevelType w:val="hybridMultilevel"/>
    <w:tmpl w:val="3B4C3128"/>
    <w:lvl w:ilvl="0" w:tplc="00041574">
      <w:start w:val="1"/>
      <w:numFmt w:val="lowerLetter"/>
      <w:lvlText w:val="%1."/>
      <w:lvlJc w:val="left"/>
      <w:pPr>
        <w:tabs>
          <w:tab w:val="num" w:pos="1440"/>
        </w:tabs>
        <w:ind w:left="1584" w:hanging="360"/>
      </w:pPr>
      <w:rPr>
        <w:rFonts w:hint="default"/>
      </w:rPr>
    </w:lvl>
    <w:lvl w:ilvl="1" w:tplc="04090019">
      <w:start w:val="1"/>
      <w:numFmt w:val="lowerLetter"/>
      <w:lvlText w:val="%2."/>
      <w:lvlJc w:val="left"/>
      <w:pPr>
        <w:tabs>
          <w:tab w:val="num" w:pos="1440"/>
        </w:tabs>
        <w:ind w:left="1440" w:hanging="360"/>
      </w:pPr>
    </w:lvl>
    <w:lvl w:ilvl="2" w:tplc="74E4D5FC">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4"/>
  </w:num>
  <w:num w:numId="4">
    <w:abstractNumId w:val="32"/>
  </w:num>
  <w:num w:numId="5">
    <w:abstractNumId w:val="41"/>
  </w:num>
  <w:num w:numId="6">
    <w:abstractNumId w:val="13"/>
  </w:num>
  <w:num w:numId="7">
    <w:abstractNumId w:val="7"/>
  </w:num>
  <w:num w:numId="8">
    <w:abstractNumId w:val="21"/>
  </w:num>
  <w:num w:numId="9">
    <w:abstractNumId w:val="8"/>
  </w:num>
  <w:num w:numId="10">
    <w:abstractNumId w:val="25"/>
  </w:num>
  <w:num w:numId="11">
    <w:abstractNumId w:val="40"/>
  </w:num>
  <w:num w:numId="12">
    <w:abstractNumId w:val="37"/>
  </w:num>
  <w:num w:numId="13">
    <w:abstractNumId w:val="2"/>
  </w:num>
  <w:num w:numId="14">
    <w:abstractNumId w:val="34"/>
  </w:num>
  <w:num w:numId="15">
    <w:abstractNumId w:val="3"/>
  </w:num>
  <w:num w:numId="16">
    <w:abstractNumId w:val="1"/>
  </w:num>
  <w:num w:numId="17">
    <w:abstractNumId w:val="28"/>
  </w:num>
  <w:num w:numId="18">
    <w:abstractNumId w:val="30"/>
  </w:num>
  <w:num w:numId="19">
    <w:abstractNumId w:val="20"/>
  </w:num>
  <w:num w:numId="20">
    <w:abstractNumId w:val="12"/>
  </w:num>
  <w:num w:numId="21">
    <w:abstractNumId w:val="36"/>
  </w:num>
  <w:num w:numId="22">
    <w:abstractNumId w:val="4"/>
  </w:num>
  <w:num w:numId="23">
    <w:abstractNumId w:val="33"/>
  </w:num>
  <w:num w:numId="24">
    <w:abstractNumId w:val="9"/>
  </w:num>
  <w:num w:numId="25">
    <w:abstractNumId w:val="26"/>
  </w:num>
  <w:num w:numId="26">
    <w:abstractNumId w:val="39"/>
  </w:num>
  <w:num w:numId="27">
    <w:abstractNumId w:val="17"/>
  </w:num>
  <w:num w:numId="28">
    <w:abstractNumId w:val="6"/>
  </w:num>
  <w:num w:numId="29">
    <w:abstractNumId w:val="22"/>
  </w:num>
  <w:num w:numId="30">
    <w:abstractNumId w:val="14"/>
  </w:num>
  <w:num w:numId="31">
    <w:abstractNumId w:val="27"/>
  </w:num>
  <w:num w:numId="32">
    <w:abstractNumId w:val="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9"/>
  </w:num>
  <w:num w:numId="34">
    <w:abstractNumId w:val="42"/>
  </w:num>
  <w:num w:numId="35">
    <w:abstractNumId w:val="31"/>
  </w:num>
  <w:num w:numId="36">
    <w:abstractNumId w:val="29"/>
  </w:num>
  <w:num w:numId="37">
    <w:abstractNumId w:val="15"/>
  </w:num>
  <w:num w:numId="38">
    <w:abstractNumId w:val="35"/>
  </w:num>
  <w:num w:numId="39">
    <w:abstractNumId w:val="10"/>
  </w:num>
  <w:num w:numId="40">
    <w:abstractNumId w:val="5"/>
  </w:num>
  <w:num w:numId="41">
    <w:abstractNumId w:val="38"/>
  </w:num>
  <w:num w:numId="42">
    <w:abstractNumId w:val="2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ilMergePerformed" w:val="2"/>
    <w:docVar w:name="MasterModule" w:val="Cases"/>
  </w:docVars>
  <w:rsids>
    <w:rsidRoot w:val="000932B7"/>
    <w:rsid w:val="00004EAF"/>
    <w:rsid w:val="00005D1D"/>
    <w:rsid w:val="00006614"/>
    <w:rsid w:val="00010919"/>
    <w:rsid w:val="000116A1"/>
    <w:rsid w:val="00012D84"/>
    <w:rsid w:val="000130BD"/>
    <w:rsid w:val="00017A7A"/>
    <w:rsid w:val="00017F67"/>
    <w:rsid w:val="0002173D"/>
    <w:rsid w:val="00021D36"/>
    <w:rsid w:val="00023929"/>
    <w:rsid w:val="00031EB5"/>
    <w:rsid w:val="00033665"/>
    <w:rsid w:val="00044454"/>
    <w:rsid w:val="00045B6F"/>
    <w:rsid w:val="00050BF4"/>
    <w:rsid w:val="00050C2A"/>
    <w:rsid w:val="00051C0B"/>
    <w:rsid w:val="00051C78"/>
    <w:rsid w:val="000530E3"/>
    <w:rsid w:val="0005555E"/>
    <w:rsid w:val="00055EAE"/>
    <w:rsid w:val="000563F5"/>
    <w:rsid w:val="00057128"/>
    <w:rsid w:val="000571C5"/>
    <w:rsid w:val="00060A37"/>
    <w:rsid w:val="000632E6"/>
    <w:rsid w:val="00064D84"/>
    <w:rsid w:val="0007202E"/>
    <w:rsid w:val="000770BC"/>
    <w:rsid w:val="00082336"/>
    <w:rsid w:val="000837EA"/>
    <w:rsid w:val="000907B4"/>
    <w:rsid w:val="00092B67"/>
    <w:rsid w:val="00092D20"/>
    <w:rsid w:val="000932B7"/>
    <w:rsid w:val="00096BBA"/>
    <w:rsid w:val="00097396"/>
    <w:rsid w:val="000A0F37"/>
    <w:rsid w:val="000A13DB"/>
    <w:rsid w:val="000A29AE"/>
    <w:rsid w:val="000A322C"/>
    <w:rsid w:val="000A5875"/>
    <w:rsid w:val="000A6639"/>
    <w:rsid w:val="000B07C8"/>
    <w:rsid w:val="000B1682"/>
    <w:rsid w:val="000B43E2"/>
    <w:rsid w:val="000B7940"/>
    <w:rsid w:val="000C21A3"/>
    <w:rsid w:val="000C24B3"/>
    <w:rsid w:val="000C2A46"/>
    <w:rsid w:val="000C3A8C"/>
    <w:rsid w:val="000C54B2"/>
    <w:rsid w:val="000C7060"/>
    <w:rsid w:val="000D1271"/>
    <w:rsid w:val="000D1CBA"/>
    <w:rsid w:val="000D215B"/>
    <w:rsid w:val="000D5076"/>
    <w:rsid w:val="000D52FE"/>
    <w:rsid w:val="000D6C89"/>
    <w:rsid w:val="000D797F"/>
    <w:rsid w:val="000D7F00"/>
    <w:rsid w:val="000E018D"/>
    <w:rsid w:val="000E14E4"/>
    <w:rsid w:val="000E4201"/>
    <w:rsid w:val="000E4AA9"/>
    <w:rsid w:val="000E6506"/>
    <w:rsid w:val="000F0554"/>
    <w:rsid w:val="000F4765"/>
    <w:rsid w:val="000F49E0"/>
    <w:rsid w:val="000F4E9D"/>
    <w:rsid w:val="000F62A2"/>
    <w:rsid w:val="00101C95"/>
    <w:rsid w:val="00102BA5"/>
    <w:rsid w:val="001039DE"/>
    <w:rsid w:val="0010427E"/>
    <w:rsid w:val="0010434F"/>
    <w:rsid w:val="00105F97"/>
    <w:rsid w:val="00105FD3"/>
    <w:rsid w:val="001140AC"/>
    <w:rsid w:val="00116126"/>
    <w:rsid w:val="00122F38"/>
    <w:rsid w:val="001279A6"/>
    <w:rsid w:val="00134577"/>
    <w:rsid w:val="00134CD9"/>
    <w:rsid w:val="001445D8"/>
    <w:rsid w:val="00144DE9"/>
    <w:rsid w:val="00146F8A"/>
    <w:rsid w:val="001472DF"/>
    <w:rsid w:val="00152C0B"/>
    <w:rsid w:val="00153C39"/>
    <w:rsid w:val="001607F3"/>
    <w:rsid w:val="001620EE"/>
    <w:rsid w:val="00162F94"/>
    <w:rsid w:val="001633B3"/>
    <w:rsid w:val="00164552"/>
    <w:rsid w:val="00164CFA"/>
    <w:rsid w:val="0017236A"/>
    <w:rsid w:val="00174F03"/>
    <w:rsid w:val="001809DC"/>
    <w:rsid w:val="0018174B"/>
    <w:rsid w:val="00182724"/>
    <w:rsid w:val="00182BF7"/>
    <w:rsid w:val="001832E7"/>
    <w:rsid w:val="001850EF"/>
    <w:rsid w:val="00186CC9"/>
    <w:rsid w:val="0018761E"/>
    <w:rsid w:val="00187A09"/>
    <w:rsid w:val="00190416"/>
    <w:rsid w:val="00191503"/>
    <w:rsid w:val="001920C9"/>
    <w:rsid w:val="001937DC"/>
    <w:rsid w:val="001959DD"/>
    <w:rsid w:val="00195D80"/>
    <w:rsid w:val="00197BFE"/>
    <w:rsid w:val="001A2B0D"/>
    <w:rsid w:val="001A3641"/>
    <w:rsid w:val="001A36E0"/>
    <w:rsid w:val="001A74C5"/>
    <w:rsid w:val="001B1D04"/>
    <w:rsid w:val="001B7002"/>
    <w:rsid w:val="001C054B"/>
    <w:rsid w:val="001C090C"/>
    <w:rsid w:val="001C1165"/>
    <w:rsid w:val="001C1A5D"/>
    <w:rsid w:val="001C1FC1"/>
    <w:rsid w:val="001C4027"/>
    <w:rsid w:val="001C7486"/>
    <w:rsid w:val="001D0293"/>
    <w:rsid w:val="001D161C"/>
    <w:rsid w:val="001D58AF"/>
    <w:rsid w:val="001D5AFB"/>
    <w:rsid w:val="001D7416"/>
    <w:rsid w:val="001E0A1D"/>
    <w:rsid w:val="001E2848"/>
    <w:rsid w:val="001E5B95"/>
    <w:rsid w:val="001E7C6F"/>
    <w:rsid w:val="001E7EA2"/>
    <w:rsid w:val="001F286A"/>
    <w:rsid w:val="001F2C57"/>
    <w:rsid w:val="001F56E3"/>
    <w:rsid w:val="001F5EFB"/>
    <w:rsid w:val="001F641A"/>
    <w:rsid w:val="00200639"/>
    <w:rsid w:val="0020070C"/>
    <w:rsid w:val="00200D07"/>
    <w:rsid w:val="00201AC0"/>
    <w:rsid w:val="00202F6E"/>
    <w:rsid w:val="00203C53"/>
    <w:rsid w:val="00214F91"/>
    <w:rsid w:val="00217896"/>
    <w:rsid w:val="00220802"/>
    <w:rsid w:val="00220A32"/>
    <w:rsid w:val="0022186D"/>
    <w:rsid w:val="0022246C"/>
    <w:rsid w:val="00222F9F"/>
    <w:rsid w:val="00226996"/>
    <w:rsid w:val="00226B6F"/>
    <w:rsid w:val="002273A2"/>
    <w:rsid w:val="002273F5"/>
    <w:rsid w:val="002365AA"/>
    <w:rsid w:val="00236FD2"/>
    <w:rsid w:val="00244141"/>
    <w:rsid w:val="00250228"/>
    <w:rsid w:val="00251414"/>
    <w:rsid w:val="00251D06"/>
    <w:rsid w:val="00252BA0"/>
    <w:rsid w:val="00257D08"/>
    <w:rsid w:val="00261370"/>
    <w:rsid w:val="00265E5B"/>
    <w:rsid w:val="00266609"/>
    <w:rsid w:val="0026772A"/>
    <w:rsid w:val="00272B7C"/>
    <w:rsid w:val="0027480C"/>
    <w:rsid w:val="00274E4C"/>
    <w:rsid w:val="002763C9"/>
    <w:rsid w:val="00277544"/>
    <w:rsid w:val="0027794B"/>
    <w:rsid w:val="00277B2D"/>
    <w:rsid w:val="002812D3"/>
    <w:rsid w:val="00281D1D"/>
    <w:rsid w:val="002827D3"/>
    <w:rsid w:val="002858B1"/>
    <w:rsid w:val="0028615C"/>
    <w:rsid w:val="00286C5E"/>
    <w:rsid w:val="0029080A"/>
    <w:rsid w:val="002910AC"/>
    <w:rsid w:val="00291511"/>
    <w:rsid w:val="00291D6B"/>
    <w:rsid w:val="002967A2"/>
    <w:rsid w:val="00297CC7"/>
    <w:rsid w:val="002A1BE1"/>
    <w:rsid w:val="002A2B44"/>
    <w:rsid w:val="002A36CB"/>
    <w:rsid w:val="002A4B92"/>
    <w:rsid w:val="002A4C76"/>
    <w:rsid w:val="002B0DB4"/>
    <w:rsid w:val="002B613E"/>
    <w:rsid w:val="002C0B71"/>
    <w:rsid w:val="002C578A"/>
    <w:rsid w:val="002C78B7"/>
    <w:rsid w:val="002D0EB4"/>
    <w:rsid w:val="002D36DD"/>
    <w:rsid w:val="002D40E2"/>
    <w:rsid w:val="002D4D98"/>
    <w:rsid w:val="002D549A"/>
    <w:rsid w:val="002D7B1E"/>
    <w:rsid w:val="002D7C1B"/>
    <w:rsid w:val="002E0683"/>
    <w:rsid w:val="002E1FE3"/>
    <w:rsid w:val="002E2AE7"/>
    <w:rsid w:val="002E2CEB"/>
    <w:rsid w:val="002E2D9A"/>
    <w:rsid w:val="002E3AF3"/>
    <w:rsid w:val="002E41E0"/>
    <w:rsid w:val="002F0B4A"/>
    <w:rsid w:val="002F101D"/>
    <w:rsid w:val="002F2EB5"/>
    <w:rsid w:val="002F4350"/>
    <w:rsid w:val="002F79BF"/>
    <w:rsid w:val="003029EE"/>
    <w:rsid w:val="00302FF1"/>
    <w:rsid w:val="00304545"/>
    <w:rsid w:val="00305CDD"/>
    <w:rsid w:val="00306738"/>
    <w:rsid w:val="00310453"/>
    <w:rsid w:val="003139BA"/>
    <w:rsid w:val="00316271"/>
    <w:rsid w:val="003173FB"/>
    <w:rsid w:val="00317744"/>
    <w:rsid w:val="0032019A"/>
    <w:rsid w:val="0032080F"/>
    <w:rsid w:val="00320816"/>
    <w:rsid w:val="00322287"/>
    <w:rsid w:val="003224AD"/>
    <w:rsid w:val="0032305F"/>
    <w:rsid w:val="00324A90"/>
    <w:rsid w:val="00325039"/>
    <w:rsid w:val="0032585D"/>
    <w:rsid w:val="00333FDD"/>
    <w:rsid w:val="00336E61"/>
    <w:rsid w:val="003401DB"/>
    <w:rsid w:val="00340D72"/>
    <w:rsid w:val="0034205D"/>
    <w:rsid w:val="00343F53"/>
    <w:rsid w:val="00345D3A"/>
    <w:rsid w:val="00353CFF"/>
    <w:rsid w:val="00353D3F"/>
    <w:rsid w:val="00357399"/>
    <w:rsid w:val="003613BF"/>
    <w:rsid w:val="00365F8E"/>
    <w:rsid w:val="0036711F"/>
    <w:rsid w:val="00370238"/>
    <w:rsid w:val="003724FB"/>
    <w:rsid w:val="003737D7"/>
    <w:rsid w:val="00373B6F"/>
    <w:rsid w:val="00374D46"/>
    <w:rsid w:val="00377E15"/>
    <w:rsid w:val="00380BAA"/>
    <w:rsid w:val="00382DEE"/>
    <w:rsid w:val="0038310F"/>
    <w:rsid w:val="00384B30"/>
    <w:rsid w:val="0038524B"/>
    <w:rsid w:val="00385617"/>
    <w:rsid w:val="0038725A"/>
    <w:rsid w:val="00391F34"/>
    <w:rsid w:val="00395D13"/>
    <w:rsid w:val="003A1BBA"/>
    <w:rsid w:val="003A5E62"/>
    <w:rsid w:val="003B032F"/>
    <w:rsid w:val="003B0B6F"/>
    <w:rsid w:val="003B163B"/>
    <w:rsid w:val="003B3111"/>
    <w:rsid w:val="003B3E30"/>
    <w:rsid w:val="003B3F78"/>
    <w:rsid w:val="003B4470"/>
    <w:rsid w:val="003C087B"/>
    <w:rsid w:val="003D1E89"/>
    <w:rsid w:val="003D2F0F"/>
    <w:rsid w:val="003E23DB"/>
    <w:rsid w:val="003E25BD"/>
    <w:rsid w:val="003E317D"/>
    <w:rsid w:val="003E3A68"/>
    <w:rsid w:val="003E79CA"/>
    <w:rsid w:val="003F2ECF"/>
    <w:rsid w:val="003F31D6"/>
    <w:rsid w:val="003F3A6B"/>
    <w:rsid w:val="003F4970"/>
    <w:rsid w:val="00400868"/>
    <w:rsid w:val="004031E3"/>
    <w:rsid w:val="004109C6"/>
    <w:rsid w:val="00410DD1"/>
    <w:rsid w:val="00412DD0"/>
    <w:rsid w:val="0042029A"/>
    <w:rsid w:val="00423B79"/>
    <w:rsid w:val="004249C3"/>
    <w:rsid w:val="00430E92"/>
    <w:rsid w:val="004320F6"/>
    <w:rsid w:val="00432DDB"/>
    <w:rsid w:val="00432E24"/>
    <w:rsid w:val="00434E20"/>
    <w:rsid w:val="004367AE"/>
    <w:rsid w:val="00442E0D"/>
    <w:rsid w:val="00443539"/>
    <w:rsid w:val="00445453"/>
    <w:rsid w:val="00452261"/>
    <w:rsid w:val="00455EFA"/>
    <w:rsid w:val="004560B7"/>
    <w:rsid w:val="0046412E"/>
    <w:rsid w:val="00465308"/>
    <w:rsid w:val="00466378"/>
    <w:rsid w:val="00466532"/>
    <w:rsid w:val="00467092"/>
    <w:rsid w:val="00472856"/>
    <w:rsid w:val="00474B3C"/>
    <w:rsid w:val="00474E26"/>
    <w:rsid w:val="00476643"/>
    <w:rsid w:val="00482C5D"/>
    <w:rsid w:val="00483B33"/>
    <w:rsid w:val="004872F9"/>
    <w:rsid w:val="004940F0"/>
    <w:rsid w:val="004A0B00"/>
    <w:rsid w:val="004A13C9"/>
    <w:rsid w:val="004A2529"/>
    <w:rsid w:val="004A4CB4"/>
    <w:rsid w:val="004A6D84"/>
    <w:rsid w:val="004A742E"/>
    <w:rsid w:val="004A79CC"/>
    <w:rsid w:val="004A7ABF"/>
    <w:rsid w:val="004B0E6D"/>
    <w:rsid w:val="004B1E0E"/>
    <w:rsid w:val="004B5B85"/>
    <w:rsid w:val="004B6A61"/>
    <w:rsid w:val="004C5CEA"/>
    <w:rsid w:val="004C687C"/>
    <w:rsid w:val="004C759A"/>
    <w:rsid w:val="004D05AC"/>
    <w:rsid w:val="004D1C94"/>
    <w:rsid w:val="004D76D8"/>
    <w:rsid w:val="004E396F"/>
    <w:rsid w:val="004E3BAD"/>
    <w:rsid w:val="004E59BD"/>
    <w:rsid w:val="004E6978"/>
    <w:rsid w:val="004F008F"/>
    <w:rsid w:val="004F0DC9"/>
    <w:rsid w:val="004F35BE"/>
    <w:rsid w:val="004F5850"/>
    <w:rsid w:val="004F6CF1"/>
    <w:rsid w:val="005000A9"/>
    <w:rsid w:val="00504BF1"/>
    <w:rsid w:val="0050752A"/>
    <w:rsid w:val="00510579"/>
    <w:rsid w:val="00511774"/>
    <w:rsid w:val="00511F24"/>
    <w:rsid w:val="00513A34"/>
    <w:rsid w:val="00515CBD"/>
    <w:rsid w:val="00516D2E"/>
    <w:rsid w:val="00517E17"/>
    <w:rsid w:val="005224B1"/>
    <w:rsid w:val="00524558"/>
    <w:rsid w:val="00530E3C"/>
    <w:rsid w:val="00535E94"/>
    <w:rsid w:val="00542639"/>
    <w:rsid w:val="00542DAA"/>
    <w:rsid w:val="005433EE"/>
    <w:rsid w:val="005474A2"/>
    <w:rsid w:val="005477B4"/>
    <w:rsid w:val="005540BE"/>
    <w:rsid w:val="00562E4A"/>
    <w:rsid w:val="00563671"/>
    <w:rsid w:val="005637C8"/>
    <w:rsid w:val="005640C6"/>
    <w:rsid w:val="00566E1A"/>
    <w:rsid w:val="00566E4C"/>
    <w:rsid w:val="005770B8"/>
    <w:rsid w:val="00584DD3"/>
    <w:rsid w:val="005904BC"/>
    <w:rsid w:val="0059122E"/>
    <w:rsid w:val="00592A3E"/>
    <w:rsid w:val="00595C7B"/>
    <w:rsid w:val="00596DF4"/>
    <w:rsid w:val="005A2CB2"/>
    <w:rsid w:val="005A31CA"/>
    <w:rsid w:val="005A58C2"/>
    <w:rsid w:val="005A720F"/>
    <w:rsid w:val="005B1F24"/>
    <w:rsid w:val="005B4D5A"/>
    <w:rsid w:val="005C1574"/>
    <w:rsid w:val="005C15BE"/>
    <w:rsid w:val="005C3112"/>
    <w:rsid w:val="005C421C"/>
    <w:rsid w:val="005C707A"/>
    <w:rsid w:val="005D1D4A"/>
    <w:rsid w:val="005D2BE9"/>
    <w:rsid w:val="005D4323"/>
    <w:rsid w:val="005E0D05"/>
    <w:rsid w:val="005E0D58"/>
    <w:rsid w:val="005E2CBA"/>
    <w:rsid w:val="005E35BE"/>
    <w:rsid w:val="005E3B4D"/>
    <w:rsid w:val="005E4168"/>
    <w:rsid w:val="005E4829"/>
    <w:rsid w:val="005F0FE1"/>
    <w:rsid w:val="005F1F99"/>
    <w:rsid w:val="005F346A"/>
    <w:rsid w:val="005F6754"/>
    <w:rsid w:val="005F7647"/>
    <w:rsid w:val="005F7698"/>
    <w:rsid w:val="006069FE"/>
    <w:rsid w:val="006105E3"/>
    <w:rsid w:val="00610838"/>
    <w:rsid w:val="00611040"/>
    <w:rsid w:val="00611092"/>
    <w:rsid w:val="006158F0"/>
    <w:rsid w:val="00617265"/>
    <w:rsid w:val="00620923"/>
    <w:rsid w:val="00621367"/>
    <w:rsid w:val="006261B8"/>
    <w:rsid w:val="006261FC"/>
    <w:rsid w:val="006317CA"/>
    <w:rsid w:val="00631EF8"/>
    <w:rsid w:val="00634B0B"/>
    <w:rsid w:val="006426EA"/>
    <w:rsid w:val="0064336C"/>
    <w:rsid w:val="006442F2"/>
    <w:rsid w:val="00644476"/>
    <w:rsid w:val="006448F5"/>
    <w:rsid w:val="006534AE"/>
    <w:rsid w:val="0065717E"/>
    <w:rsid w:val="00657A01"/>
    <w:rsid w:val="00660174"/>
    <w:rsid w:val="00660939"/>
    <w:rsid w:val="006657D3"/>
    <w:rsid w:val="006672A0"/>
    <w:rsid w:val="00672D81"/>
    <w:rsid w:val="006800E2"/>
    <w:rsid w:val="00681D0A"/>
    <w:rsid w:val="00682EF9"/>
    <w:rsid w:val="006839FB"/>
    <w:rsid w:val="00684F6F"/>
    <w:rsid w:val="00687D4A"/>
    <w:rsid w:val="00696E0B"/>
    <w:rsid w:val="006A03A7"/>
    <w:rsid w:val="006A05C6"/>
    <w:rsid w:val="006A0B79"/>
    <w:rsid w:val="006A0D6A"/>
    <w:rsid w:val="006A3BA9"/>
    <w:rsid w:val="006B239F"/>
    <w:rsid w:val="006B3646"/>
    <w:rsid w:val="006B4F1C"/>
    <w:rsid w:val="006B581A"/>
    <w:rsid w:val="006B7B42"/>
    <w:rsid w:val="006C385D"/>
    <w:rsid w:val="006E12BC"/>
    <w:rsid w:val="006E1933"/>
    <w:rsid w:val="006E2766"/>
    <w:rsid w:val="006E3EFC"/>
    <w:rsid w:val="006E7260"/>
    <w:rsid w:val="006F1673"/>
    <w:rsid w:val="006F1D39"/>
    <w:rsid w:val="006F1F8B"/>
    <w:rsid w:val="006F235A"/>
    <w:rsid w:val="006F33D7"/>
    <w:rsid w:val="006F7D9C"/>
    <w:rsid w:val="007021F3"/>
    <w:rsid w:val="007027C9"/>
    <w:rsid w:val="007061D9"/>
    <w:rsid w:val="00706D6B"/>
    <w:rsid w:val="00707B07"/>
    <w:rsid w:val="007101F0"/>
    <w:rsid w:val="00710E3E"/>
    <w:rsid w:val="0071150B"/>
    <w:rsid w:val="00711E3B"/>
    <w:rsid w:val="00717032"/>
    <w:rsid w:val="007171AF"/>
    <w:rsid w:val="00717BEF"/>
    <w:rsid w:val="00720BC4"/>
    <w:rsid w:val="00724D0A"/>
    <w:rsid w:val="007279BD"/>
    <w:rsid w:val="00730FA9"/>
    <w:rsid w:val="00731F79"/>
    <w:rsid w:val="00733519"/>
    <w:rsid w:val="007353C0"/>
    <w:rsid w:val="00737796"/>
    <w:rsid w:val="00741944"/>
    <w:rsid w:val="0074197F"/>
    <w:rsid w:val="00744E83"/>
    <w:rsid w:val="007468A4"/>
    <w:rsid w:val="00747434"/>
    <w:rsid w:val="007501E2"/>
    <w:rsid w:val="00750EC6"/>
    <w:rsid w:val="00751D9D"/>
    <w:rsid w:val="0076195C"/>
    <w:rsid w:val="00761E9C"/>
    <w:rsid w:val="00764614"/>
    <w:rsid w:val="00764BDD"/>
    <w:rsid w:val="00764D14"/>
    <w:rsid w:val="007655A6"/>
    <w:rsid w:val="007660A3"/>
    <w:rsid w:val="007668E1"/>
    <w:rsid w:val="007679C0"/>
    <w:rsid w:val="0077078A"/>
    <w:rsid w:val="007736CC"/>
    <w:rsid w:val="0077589B"/>
    <w:rsid w:val="00775C0B"/>
    <w:rsid w:val="00775FA9"/>
    <w:rsid w:val="00777769"/>
    <w:rsid w:val="00781E78"/>
    <w:rsid w:val="007873DA"/>
    <w:rsid w:val="0079061F"/>
    <w:rsid w:val="0079122A"/>
    <w:rsid w:val="0079375D"/>
    <w:rsid w:val="007940E3"/>
    <w:rsid w:val="00795E8D"/>
    <w:rsid w:val="007A0FDB"/>
    <w:rsid w:val="007A1302"/>
    <w:rsid w:val="007A3E3A"/>
    <w:rsid w:val="007A6A69"/>
    <w:rsid w:val="007A7BB8"/>
    <w:rsid w:val="007B051D"/>
    <w:rsid w:val="007B0D2B"/>
    <w:rsid w:val="007B0E4B"/>
    <w:rsid w:val="007B16FD"/>
    <w:rsid w:val="007B1E87"/>
    <w:rsid w:val="007B2898"/>
    <w:rsid w:val="007B297E"/>
    <w:rsid w:val="007B2B7B"/>
    <w:rsid w:val="007B5F9F"/>
    <w:rsid w:val="007B724C"/>
    <w:rsid w:val="007B759B"/>
    <w:rsid w:val="007C1AF6"/>
    <w:rsid w:val="007C41CF"/>
    <w:rsid w:val="007C4EA3"/>
    <w:rsid w:val="007C7437"/>
    <w:rsid w:val="007C7EE7"/>
    <w:rsid w:val="007D0F00"/>
    <w:rsid w:val="007D236B"/>
    <w:rsid w:val="007D4FBB"/>
    <w:rsid w:val="007E0C98"/>
    <w:rsid w:val="007E18A9"/>
    <w:rsid w:val="007E1FAC"/>
    <w:rsid w:val="007E71C2"/>
    <w:rsid w:val="007F1E10"/>
    <w:rsid w:val="007F3D2D"/>
    <w:rsid w:val="00802011"/>
    <w:rsid w:val="00802166"/>
    <w:rsid w:val="00802C48"/>
    <w:rsid w:val="00804A12"/>
    <w:rsid w:val="00810415"/>
    <w:rsid w:val="00813CB8"/>
    <w:rsid w:val="00814343"/>
    <w:rsid w:val="0081515C"/>
    <w:rsid w:val="00817F18"/>
    <w:rsid w:val="00822A9B"/>
    <w:rsid w:val="00823264"/>
    <w:rsid w:val="00823A87"/>
    <w:rsid w:val="00823AE8"/>
    <w:rsid w:val="00823E50"/>
    <w:rsid w:val="00824266"/>
    <w:rsid w:val="0082439E"/>
    <w:rsid w:val="00827839"/>
    <w:rsid w:val="00830AB6"/>
    <w:rsid w:val="008333EB"/>
    <w:rsid w:val="00833DC9"/>
    <w:rsid w:val="00835470"/>
    <w:rsid w:val="00836304"/>
    <w:rsid w:val="00840870"/>
    <w:rsid w:val="00842B52"/>
    <w:rsid w:val="00844616"/>
    <w:rsid w:val="0084532F"/>
    <w:rsid w:val="00845F64"/>
    <w:rsid w:val="00847171"/>
    <w:rsid w:val="00860397"/>
    <w:rsid w:val="00861801"/>
    <w:rsid w:val="00863C6B"/>
    <w:rsid w:val="00865CF6"/>
    <w:rsid w:val="008672A8"/>
    <w:rsid w:val="008711AB"/>
    <w:rsid w:val="008748EC"/>
    <w:rsid w:val="00876F45"/>
    <w:rsid w:val="0088027B"/>
    <w:rsid w:val="0088124C"/>
    <w:rsid w:val="008813D6"/>
    <w:rsid w:val="008824DF"/>
    <w:rsid w:val="00884682"/>
    <w:rsid w:val="008861B5"/>
    <w:rsid w:val="00886DE0"/>
    <w:rsid w:val="00890626"/>
    <w:rsid w:val="008923FB"/>
    <w:rsid w:val="0089429B"/>
    <w:rsid w:val="00894AB5"/>
    <w:rsid w:val="00896567"/>
    <w:rsid w:val="008A34DB"/>
    <w:rsid w:val="008A4445"/>
    <w:rsid w:val="008A5321"/>
    <w:rsid w:val="008B388F"/>
    <w:rsid w:val="008B4E83"/>
    <w:rsid w:val="008B50C9"/>
    <w:rsid w:val="008B6973"/>
    <w:rsid w:val="008C1D33"/>
    <w:rsid w:val="008C525A"/>
    <w:rsid w:val="008C56E4"/>
    <w:rsid w:val="008C6C34"/>
    <w:rsid w:val="008C7798"/>
    <w:rsid w:val="008D4E90"/>
    <w:rsid w:val="008D6ABD"/>
    <w:rsid w:val="008E2F8B"/>
    <w:rsid w:val="008E3FF0"/>
    <w:rsid w:val="009008A4"/>
    <w:rsid w:val="0090108D"/>
    <w:rsid w:val="009035D7"/>
    <w:rsid w:val="00904877"/>
    <w:rsid w:val="009055D6"/>
    <w:rsid w:val="00906938"/>
    <w:rsid w:val="00906C1B"/>
    <w:rsid w:val="00906D5D"/>
    <w:rsid w:val="0090744D"/>
    <w:rsid w:val="0091008E"/>
    <w:rsid w:val="009111CC"/>
    <w:rsid w:val="00911785"/>
    <w:rsid w:val="0091394C"/>
    <w:rsid w:val="00913D8F"/>
    <w:rsid w:val="00914B9A"/>
    <w:rsid w:val="009150D1"/>
    <w:rsid w:val="0091514F"/>
    <w:rsid w:val="00915392"/>
    <w:rsid w:val="00916D32"/>
    <w:rsid w:val="00921081"/>
    <w:rsid w:val="009219E8"/>
    <w:rsid w:val="00922DD4"/>
    <w:rsid w:val="0092696C"/>
    <w:rsid w:val="009300AA"/>
    <w:rsid w:val="00930331"/>
    <w:rsid w:val="00931296"/>
    <w:rsid w:val="00931F3C"/>
    <w:rsid w:val="00945436"/>
    <w:rsid w:val="00954482"/>
    <w:rsid w:val="00956904"/>
    <w:rsid w:val="009614A4"/>
    <w:rsid w:val="0096151E"/>
    <w:rsid w:val="0096178A"/>
    <w:rsid w:val="00962DF4"/>
    <w:rsid w:val="0096656B"/>
    <w:rsid w:val="00967358"/>
    <w:rsid w:val="00970170"/>
    <w:rsid w:val="00971E23"/>
    <w:rsid w:val="00972C77"/>
    <w:rsid w:val="00977FE5"/>
    <w:rsid w:val="00982184"/>
    <w:rsid w:val="00983AE3"/>
    <w:rsid w:val="00985DD9"/>
    <w:rsid w:val="00987C68"/>
    <w:rsid w:val="0099240F"/>
    <w:rsid w:val="00992924"/>
    <w:rsid w:val="00994EC9"/>
    <w:rsid w:val="00996050"/>
    <w:rsid w:val="009A0B49"/>
    <w:rsid w:val="009A35A7"/>
    <w:rsid w:val="009A5C88"/>
    <w:rsid w:val="009A7076"/>
    <w:rsid w:val="009A758D"/>
    <w:rsid w:val="009B0363"/>
    <w:rsid w:val="009B2440"/>
    <w:rsid w:val="009B248C"/>
    <w:rsid w:val="009B698E"/>
    <w:rsid w:val="009B7C4B"/>
    <w:rsid w:val="009C093E"/>
    <w:rsid w:val="009C1674"/>
    <w:rsid w:val="009D0706"/>
    <w:rsid w:val="009D0782"/>
    <w:rsid w:val="009D4E74"/>
    <w:rsid w:val="009D5635"/>
    <w:rsid w:val="009D6949"/>
    <w:rsid w:val="009E1F49"/>
    <w:rsid w:val="009E21B6"/>
    <w:rsid w:val="009E6E39"/>
    <w:rsid w:val="009F1333"/>
    <w:rsid w:val="009F1B54"/>
    <w:rsid w:val="009F310E"/>
    <w:rsid w:val="009F62A1"/>
    <w:rsid w:val="00A01509"/>
    <w:rsid w:val="00A01B96"/>
    <w:rsid w:val="00A05D07"/>
    <w:rsid w:val="00A07CEF"/>
    <w:rsid w:val="00A104D8"/>
    <w:rsid w:val="00A10A6F"/>
    <w:rsid w:val="00A118A1"/>
    <w:rsid w:val="00A13F07"/>
    <w:rsid w:val="00A169C5"/>
    <w:rsid w:val="00A17286"/>
    <w:rsid w:val="00A20D47"/>
    <w:rsid w:val="00A23739"/>
    <w:rsid w:val="00A26D37"/>
    <w:rsid w:val="00A26FC2"/>
    <w:rsid w:val="00A270B0"/>
    <w:rsid w:val="00A30305"/>
    <w:rsid w:val="00A308CA"/>
    <w:rsid w:val="00A36E32"/>
    <w:rsid w:val="00A45049"/>
    <w:rsid w:val="00A50A16"/>
    <w:rsid w:val="00A515AF"/>
    <w:rsid w:val="00A55368"/>
    <w:rsid w:val="00A558B4"/>
    <w:rsid w:val="00A56C04"/>
    <w:rsid w:val="00A57BB1"/>
    <w:rsid w:val="00A66A95"/>
    <w:rsid w:val="00A6726C"/>
    <w:rsid w:val="00A716C1"/>
    <w:rsid w:val="00A71735"/>
    <w:rsid w:val="00A72475"/>
    <w:rsid w:val="00A73808"/>
    <w:rsid w:val="00A75E67"/>
    <w:rsid w:val="00A81E7B"/>
    <w:rsid w:val="00A82B9C"/>
    <w:rsid w:val="00A84383"/>
    <w:rsid w:val="00A85E22"/>
    <w:rsid w:val="00A87CB7"/>
    <w:rsid w:val="00A912AE"/>
    <w:rsid w:val="00A9249E"/>
    <w:rsid w:val="00A94282"/>
    <w:rsid w:val="00A94327"/>
    <w:rsid w:val="00A9567B"/>
    <w:rsid w:val="00AA0116"/>
    <w:rsid w:val="00AA14E4"/>
    <w:rsid w:val="00AA253A"/>
    <w:rsid w:val="00AA3885"/>
    <w:rsid w:val="00AA78E2"/>
    <w:rsid w:val="00AB1216"/>
    <w:rsid w:val="00AB405E"/>
    <w:rsid w:val="00AB4EF4"/>
    <w:rsid w:val="00AB77CE"/>
    <w:rsid w:val="00AC0D55"/>
    <w:rsid w:val="00AC7193"/>
    <w:rsid w:val="00AD21DF"/>
    <w:rsid w:val="00AD36CE"/>
    <w:rsid w:val="00AD4244"/>
    <w:rsid w:val="00AD5C16"/>
    <w:rsid w:val="00AE02B5"/>
    <w:rsid w:val="00AE0E81"/>
    <w:rsid w:val="00AE345E"/>
    <w:rsid w:val="00AE4253"/>
    <w:rsid w:val="00AE6A9E"/>
    <w:rsid w:val="00AF2DC9"/>
    <w:rsid w:val="00AF4BCB"/>
    <w:rsid w:val="00AF4DC0"/>
    <w:rsid w:val="00AF6633"/>
    <w:rsid w:val="00B02D30"/>
    <w:rsid w:val="00B06C7D"/>
    <w:rsid w:val="00B077C5"/>
    <w:rsid w:val="00B10A5F"/>
    <w:rsid w:val="00B12227"/>
    <w:rsid w:val="00B12930"/>
    <w:rsid w:val="00B12D50"/>
    <w:rsid w:val="00B13A64"/>
    <w:rsid w:val="00B14057"/>
    <w:rsid w:val="00B15FA0"/>
    <w:rsid w:val="00B16530"/>
    <w:rsid w:val="00B17C90"/>
    <w:rsid w:val="00B230ED"/>
    <w:rsid w:val="00B2514A"/>
    <w:rsid w:val="00B25318"/>
    <w:rsid w:val="00B25493"/>
    <w:rsid w:val="00B308EF"/>
    <w:rsid w:val="00B34A19"/>
    <w:rsid w:val="00B34B46"/>
    <w:rsid w:val="00B421EC"/>
    <w:rsid w:val="00B43133"/>
    <w:rsid w:val="00B448A8"/>
    <w:rsid w:val="00B449B2"/>
    <w:rsid w:val="00B52DB8"/>
    <w:rsid w:val="00B5336C"/>
    <w:rsid w:val="00B5368D"/>
    <w:rsid w:val="00B55661"/>
    <w:rsid w:val="00B55AD9"/>
    <w:rsid w:val="00B61B7A"/>
    <w:rsid w:val="00B61D40"/>
    <w:rsid w:val="00B65437"/>
    <w:rsid w:val="00B6578B"/>
    <w:rsid w:val="00B66294"/>
    <w:rsid w:val="00B70B44"/>
    <w:rsid w:val="00B730CF"/>
    <w:rsid w:val="00B75545"/>
    <w:rsid w:val="00B7759F"/>
    <w:rsid w:val="00B818A7"/>
    <w:rsid w:val="00B83D32"/>
    <w:rsid w:val="00B85237"/>
    <w:rsid w:val="00B9286F"/>
    <w:rsid w:val="00B928F1"/>
    <w:rsid w:val="00B95738"/>
    <w:rsid w:val="00B9707E"/>
    <w:rsid w:val="00B97AE3"/>
    <w:rsid w:val="00B97F91"/>
    <w:rsid w:val="00BA009E"/>
    <w:rsid w:val="00BA06AC"/>
    <w:rsid w:val="00BA1EC8"/>
    <w:rsid w:val="00BA398B"/>
    <w:rsid w:val="00BA3A9D"/>
    <w:rsid w:val="00BA7595"/>
    <w:rsid w:val="00BB10DF"/>
    <w:rsid w:val="00BB5C49"/>
    <w:rsid w:val="00BB5D9A"/>
    <w:rsid w:val="00BC116C"/>
    <w:rsid w:val="00BC16B2"/>
    <w:rsid w:val="00BC1BFB"/>
    <w:rsid w:val="00BC5684"/>
    <w:rsid w:val="00BC5A89"/>
    <w:rsid w:val="00BD136A"/>
    <w:rsid w:val="00BD38FF"/>
    <w:rsid w:val="00BD4268"/>
    <w:rsid w:val="00BE1723"/>
    <w:rsid w:val="00BE191C"/>
    <w:rsid w:val="00BE1DA0"/>
    <w:rsid w:val="00BE4B5E"/>
    <w:rsid w:val="00BE76EE"/>
    <w:rsid w:val="00BF2D59"/>
    <w:rsid w:val="00BF4FC4"/>
    <w:rsid w:val="00BF592A"/>
    <w:rsid w:val="00BF5BEE"/>
    <w:rsid w:val="00C07F7E"/>
    <w:rsid w:val="00C10D26"/>
    <w:rsid w:val="00C127AF"/>
    <w:rsid w:val="00C15A89"/>
    <w:rsid w:val="00C21596"/>
    <w:rsid w:val="00C220AC"/>
    <w:rsid w:val="00C2391D"/>
    <w:rsid w:val="00C24558"/>
    <w:rsid w:val="00C2552A"/>
    <w:rsid w:val="00C2572D"/>
    <w:rsid w:val="00C25ACE"/>
    <w:rsid w:val="00C2617E"/>
    <w:rsid w:val="00C32698"/>
    <w:rsid w:val="00C3307A"/>
    <w:rsid w:val="00C35DBC"/>
    <w:rsid w:val="00C40740"/>
    <w:rsid w:val="00C40F0D"/>
    <w:rsid w:val="00C42AB1"/>
    <w:rsid w:val="00C43B4B"/>
    <w:rsid w:val="00C45424"/>
    <w:rsid w:val="00C45929"/>
    <w:rsid w:val="00C47294"/>
    <w:rsid w:val="00C50BE2"/>
    <w:rsid w:val="00C50E70"/>
    <w:rsid w:val="00C535AA"/>
    <w:rsid w:val="00C606AC"/>
    <w:rsid w:val="00C6321A"/>
    <w:rsid w:val="00C63666"/>
    <w:rsid w:val="00C65158"/>
    <w:rsid w:val="00C67485"/>
    <w:rsid w:val="00C71ADA"/>
    <w:rsid w:val="00C725C2"/>
    <w:rsid w:val="00C776D0"/>
    <w:rsid w:val="00C77718"/>
    <w:rsid w:val="00C8079F"/>
    <w:rsid w:val="00C82625"/>
    <w:rsid w:val="00C84ABB"/>
    <w:rsid w:val="00C87DD9"/>
    <w:rsid w:val="00C93CA8"/>
    <w:rsid w:val="00CA09FE"/>
    <w:rsid w:val="00CA2717"/>
    <w:rsid w:val="00CA3240"/>
    <w:rsid w:val="00CA3E6E"/>
    <w:rsid w:val="00CB01F3"/>
    <w:rsid w:val="00CB6A86"/>
    <w:rsid w:val="00CC24F9"/>
    <w:rsid w:val="00CC6814"/>
    <w:rsid w:val="00CC6984"/>
    <w:rsid w:val="00CC6F26"/>
    <w:rsid w:val="00CC7932"/>
    <w:rsid w:val="00CD2699"/>
    <w:rsid w:val="00CD3EB7"/>
    <w:rsid w:val="00CD6EF0"/>
    <w:rsid w:val="00CD7300"/>
    <w:rsid w:val="00CD79CC"/>
    <w:rsid w:val="00CE39A8"/>
    <w:rsid w:val="00CE3BD9"/>
    <w:rsid w:val="00CF153D"/>
    <w:rsid w:val="00CF4BF7"/>
    <w:rsid w:val="00CF7DB8"/>
    <w:rsid w:val="00D00140"/>
    <w:rsid w:val="00D03D32"/>
    <w:rsid w:val="00D04789"/>
    <w:rsid w:val="00D0498C"/>
    <w:rsid w:val="00D04FC6"/>
    <w:rsid w:val="00D054A4"/>
    <w:rsid w:val="00D06298"/>
    <w:rsid w:val="00D07641"/>
    <w:rsid w:val="00D15848"/>
    <w:rsid w:val="00D17C8A"/>
    <w:rsid w:val="00D201F5"/>
    <w:rsid w:val="00D21D5A"/>
    <w:rsid w:val="00D261C0"/>
    <w:rsid w:val="00D26740"/>
    <w:rsid w:val="00D26DEA"/>
    <w:rsid w:val="00D2776B"/>
    <w:rsid w:val="00D30E75"/>
    <w:rsid w:val="00D311AB"/>
    <w:rsid w:val="00D33892"/>
    <w:rsid w:val="00D41F99"/>
    <w:rsid w:val="00D4210D"/>
    <w:rsid w:val="00D47CD2"/>
    <w:rsid w:val="00D50A08"/>
    <w:rsid w:val="00D5564F"/>
    <w:rsid w:val="00D65C95"/>
    <w:rsid w:val="00D66490"/>
    <w:rsid w:val="00D6742C"/>
    <w:rsid w:val="00D70029"/>
    <w:rsid w:val="00D701DB"/>
    <w:rsid w:val="00D70DC3"/>
    <w:rsid w:val="00D7584E"/>
    <w:rsid w:val="00D812F6"/>
    <w:rsid w:val="00D82F4D"/>
    <w:rsid w:val="00D8540D"/>
    <w:rsid w:val="00D86FB8"/>
    <w:rsid w:val="00D87A0E"/>
    <w:rsid w:val="00D9197D"/>
    <w:rsid w:val="00D920D1"/>
    <w:rsid w:val="00DA4030"/>
    <w:rsid w:val="00DA5920"/>
    <w:rsid w:val="00DA6FED"/>
    <w:rsid w:val="00DA761E"/>
    <w:rsid w:val="00DB0109"/>
    <w:rsid w:val="00DB0950"/>
    <w:rsid w:val="00DB3370"/>
    <w:rsid w:val="00DB407A"/>
    <w:rsid w:val="00DB4103"/>
    <w:rsid w:val="00DB4838"/>
    <w:rsid w:val="00DB4B92"/>
    <w:rsid w:val="00DB67F3"/>
    <w:rsid w:val="00DB6DC3"/>
    <w:rsid w:val="00DB74C6"/>
    <w:rsid w:val="00DB7E6A"/>
    <w:rsid w:val="00DC0F22"/>
    <w:rsid w:val="00DC2D24"/>
    <w:rsid w:val="00DC4773"/>
    <w:rsid w:val="00DC5C5B"/>
    <w:rsid w:val="00DC74B6"/>
    <w:rsid w:val="00DC7755"/>
    <w:rsid w:val="00DC7C20"/>
    <w:rsid w:val="00DD2241"/>
    <w:rsid w:val="00DD4C5A"/>
    <w:rsid w:val="00DE32DD"/>
    <w:rsid w:val="00DE4BB3"/>
    <w:rsid w:val="00DE7EA9"/>
    <w:rsid w:val="00DF2B83"/>
    <w:rsid w:val="00DF7981"/>
    <w:rsid w:val="00E03CE1"/>
    <w:rsid w:val="00E043F0"/>
    <w:rsid w:val="00E05B95"/>
    <w:rsid w:val="00E06271"/>
    <w:rsid w:val="00E107C4"/>
    <w:rsid w:val="00E10EF5"/>
    <w:rsid w:val="00E11849"/>
    <w:rsid w:val="00E128A6"/>
    <w:rsid w:val="00E14CC9"/>
    <w:rsid w:val="00E14E3F"/>
    <w:rsid w:val="00E15760"/>
    <w:rsid w:val="00E1589B"/>
    <w:rsid w:val="00E161BC"/>
    <w:rsid w:val="00E17AB1"/>
    <w:rsid w:val="00E20BE7"/>
    <w:rsid w:val="00E21D86"/>
    <w:rsid w:val="00E244CB"/>
    <w:rsid w:val="00E2618F"/>
    <w:rsid w:val="00E27BE2"/>
    <w:rsid w:val="00E33903"/>
    <w:rsid w:val="00E3650E"/>
    <w:rsid w:val="00E3733D"/>
    <w:rsid w:val="00E37D56"/>
    <w:rsid w:val="00E405CA"/>
    <w:rsid w:val="00E41B9E"/>
    <w:rsid w:val="00E42E9E"/>
    <w:rsid w:val="00E44BDD"/>
    <w:rsid w:val="00E46BAB"/>
    <w:rsid w:val="00E47CCA"/>
    <w:rsid w:val="00E65A08"/>
    <w:rsid w:val="00E66919"/>
    <w:rsid w:val="00E66AE8"/>
    <w:rsid w:val="00E70CAD"/>
    <w:rsid w:val="00E73E09"/>
    <w:rsid w:val="00E757A9"/>
    <w:rsid w:val="00E75DF1"/>
    <w:rsid w:val="00E778A9"/>
    <w:rsid w:val="00E80777"/>
    <w:rsid w:val="00E820D4"/>
    <w:rsid w:val="00E847D4"/>
    <w:rsid w:val="00E85255"/>
    <w:rsid w:val="00E85B5A"/>
    <w:rsid w:val="00E85F0C"/>
    <w:rsid w:val="00E86BF2"/>
    <w:rsid w:val="00EA12D1"/>
    <w:rsid w:val="00EA3E32"/>
    <w:rsid w:val="00EA439C"/>
    <w:rsid w:val="00EA64D8"/>
    <w:rsid w:val="00EB142E"/>
    <w:rsid w:val="00EB1757"/>
    <w:rsid w:val="00EB5364"/>
    <w:rsid w:val="00EB6A98"/>
    <w:rsid w:val="00EB7B6E"/>
    <w:rsid w:val="00EC019A"/>
    <w:rsid w:val="00EC4E22"/>
    <w:rsid w:val="00EC56A6"/>
    <w:rsid w:val="00ED106D"/>
    <w:rsid w:val="00ED4DBA"/>
    <w:rsid w:val="00ED6C73"/>
    <w:rsid w:val="00EE37CF"/>
    <w:rsid w:val="00EE7261"/>
    <w:rsid w:val="00EE7AFB"/>
    <w:rsid w:val="00EF2DC8"/>
    <w:rsid w:val="00EF32EB"/>
    <w:rsid w:val="00EF55C0"/>
    <w:rsid w:val="00EF6707"/>
    <w:rsid w:val="00F001A0"/>
    <w:rsid w:val="00F01D5A"/>
    <w:rsid w:val="00F04AFA"/>
    <w:rsid w:val="00F0509E"/>
    <w:rsid w:val="00F05140"/>
    <w:rsid w:val="00F102D7"/>
    <w:rsid w:val="00F11114"/>
    <w:rsid w:val="00F119C1"/>
    <w:rsid w:val="00F13B98"/>
    <w:rsid w:val="00F16D27"/>
    <w:rsid w:val="00F177A5"/>
    <w:rsid w:val="00F2046E"/>
    <w:rsid w:val="00F22F3B"/>
    <w:rsid w:val="00F30D3A"/>
    <w:rsid w:val="00F32B32"/>
    <w:rsid w:val="00F41164"/>
    <w:rsid w:val="00F4479C"/>
    <w:rsid w:val="00F45BF9"/>
    <w:rsid w:val="00F475D5"/>
    <w:rsid w:val="00F5359E"/>
    <w:rsid w:val="00F57142"/>
    <w:rsid w:val="00F575DF"/>
    <w:rsid w:val="00F62A68"/>
    <w:rsid w:val="00F716F3"/>
    <w:rsid w:val="00F73845"/>
    <w:rsid w:val="00F75E96"/>
    <w:rsid w:val="00F83BC0"/>
    <w:rsid w:val="00F83C8F"/>
    <w:rsid w:val="00F83E48"/>
    <w:rsid w:val="00F84B35"/>
    <w:rsid w:val="00F87B31"/>
    <w:rsid w:val="00F9564C"/>
    <w:rsid w:val="00F96A43"/>
    <w:rsid w:val="00F9797F"/>
    <w:rsid w:val="00FA0069"/>
    <w:rsid w:val="00FA0CDC"/>
    <w:rsid w:val="00FA1709"/>
    <w:rsid w:val="00FA1D8D"/>
    <w:rsid w:val="00FA3320"/>
    <w:rsid w:val="00FA7BD5"/>
    <w:rsid w:val="00FB2D4B"/>
    <w:rsid w:val="00FB4914"/>
    <w:rsid w:val="00FB5247"/>
    <w:rsid w:val="00FB5524"/>
    <w:rsid w:val="00FC0103"/>
    <w:rsid w:val="00FC1448"/>
    <w:rsid w:val="00FC4D9B"/>
    <w:rsid w:val="00FD02A0"/>
    <w:rsid w:val="00FD0F32"/>
    <w:rsid w:val="00FD5507"/>
    <w:rsid w:val="00FD6415"/>
    <w:rsid w:val="00FD6491"/>
    <w:rsid w:val="00FD6F0E"/>
    <w:rsid w:val="00FD6FA2"/>
    <w:rsid w:val="00FE3192"/>
    <w:rsid w:val="00FE4363"/>
    <w:rsid w:val="00FE4A9E"/>
    <w:rsid w:val="00FE5D50"/>
    <w:rsid w:val="00FF0DF5"/>
    <w:rsid w:val="00FF3651"/>
    <w:rsid w:val="00FF52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6FBF"/>
  <w15:docId w15:val="{1A85CB2D-C5A3-4AC7-8891-727C6684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923"/>
    <w:rPr>
      <w:rFonts w:ascii="Times New Roman" w:eastAsia="Times New Roman" w:hAnsi="Times New Roman"/>
      <w:sz w:val="24"/>
      <w:szCs w:val="24"/>
    </w:rPr>
  </w:style>
  <w:style w:type="paragraph" w:styleId="Heading1">
    <w:name w:val="heading 1"/>
    <w:basedOn w:val="Normal"/>
    <w:next w:val="Normal"/>
    <w:link w:val="Heading1Char"/>
    <w:qFormat/>
    <w:rsid w:val="00F716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C7C20"/>
    <w:pPr>
      <w:keepNext/>
      <w:widowControl w:val="0"/>
      <w:tabs>
        <w:tab w:val="left" w:pos="691"/>
        <w:tab w:val="left" w:pos="1411"/>
        <w:tab w:val="left" w:pos="2217"/>
        <w:tab w:val="left" w:pos="2793"/>
        <w:tab w:val="left" w:pos="3830"/>
        <w:tab w:val="left" w:pos="4723"/>
        <w:tab w:val="left" w:pos="6105"/>
      </w:tabs>
      <w:autoSpaceDE w:val="0"/>
      <w:autoSpaceDN w:val="0"/>
      <w:adjustRightInd w:val="0"/>
      <w:jc w:val="both"/>
      <w:outlineLvl w:val="1"/>
    </w:pPr>
    <w:rPr>
      <w:caps/>
      <w:sz w:val="22"/>
      <w:szCs w:val="22"/>
      <w:u w:val="single"/>
    </w:rPr>
  </w:style>
  <w:style w:type="paragraph" w:styleId="Heading3">
    <w:name w:val="heading 3"/>
    <w:basedOn w:val="Normal"/>
    <w:next w:val="Normal"/>
    <w:link w:val="Heading3Char"/>
    <w:unhideWhenUsed/>
    <w:qFormat/>
    <w:rsid w:val="008B388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F3D2D"/>
    <w:pPr>
      <w:keepNext/>
      <w:widowControl w:val="0"/>
      <w:tabs>
        <w:tab w:val="left" w:pos="-720"/>
        <w:tab w:val="left" w:pos="720"/>
        <w:tab w:val="left" w:pos="1440"/>
        <w:tab w:val="left" w:pos="2160"/>
        <w:tab w:val="left" w:pos="2649"/>
        <w:tab w:val="left" w:pos="11250"/>
      </w:tabs>
      <w:autoSpaceDE w:val="0"/>
      <w:autoSpaceDN w:val="0"/>
      <w:adjustRightInd w:val="0"/>
      <w:ind w:left="360"/>
      <w:outlineLvl w:val="3"/>
    </w:pPr>
    <w:rPr>
      <w:sz w:val="22"/>
      <w:szCs w:val="23"/>
    </w:rPr>
  </w:style>
  <w:style w:type="paragraph" w:styleId="Heading5">
    <w:name w:val="heading 5"/>
    <w:basedOn w:val="Normal"/>
    <w:next w:val="Normal"/>
    <w:link w:val="Heading5Char"/>
    <w:qFormat/>
    <w:rsid w:val="00F716F3"/>
    <w:pPr>
      <w:tabs>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qFormat/>
    <w:rsid w:val="00F716F3"/>
    <w:pPr>
      <w:tabs>
        <w:tab w:val="num" w:pos="1152"/>
      </w:tabs>
      <w:spacing w:before="240" w:after="60"/>
      <w:ind w:left="1152" w:hanging="432"/>
      <w:outlineLvl w:val="5"/>
    </w:pPr>
    <w:rPr>
      <w:b/>
      <w:bCs/>
      <w:sz w:val="22"/>
      <w:szCs w:val="22"/>
    </w:rPr>
  </w:style>
  <w:style w:type="paragraph" w:styleId="Heading7">
    <w:name w:val="heading 7"/>
    <w:basedOn w:val="Normal"/>
    <w:next w:val="Normal"/>
    <w:link w:val="Heading7Char"/>
    <w:unhideWhenUsed/>
    <w:qFormat/>
    <w:rsid w:val="008B388F"/>
    <w:pPr>
      <w:spacing w:before="240" w:after="60"/>
      <w:outlineLvl w:val="6"/>
    </w:pPr>
    <w:rPr>
      <w:rFonts w:ascii="Calibri" w:hAnsi="Calibri"/>
    </w:rPr>
  </w:style>
  <w:style w:type="paragraph" w:styleId="Heading8">
    <w:name w:val="heading 8"/>
    <w:basedOn w:val="Normal"/>
    <w:next w:val="Normal"/>
    <w:link w:val="Heading8Char"/>
    <w:qFormat/>
    <w:rsid w:val="00F716F3"/>
    <w:pPr>
      <w:tabs>
        <w:tab w:val="num" w:pos="1440"/>
      </w:tabs>
      <w:spacing w:before="240" w:after="60"/>
      <w:ind w:left="1440" w:hanging="432"/>
      <w:outlineLvl w:val="7"/>
    </w:pPr>
    <w:rPr>
      <w:i/>
      <w:iCs/>
    </w:rPr>
  </w:style>
  <w:style w:type="paragraph" w:styleId="Heading9">
    <w:name w:val="heading 9"/>
    <w:basedOn w:val="Normal"/>
    <w:next w:val="Normal"/>
    <w:link w:val="Heading9Char"/>
    <w:qFormat/>
    <w:rsid w:val="00F716F3"/>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32B7"/>
    <w:pPr>
      <w:tabs>
        <w:tab w:val="center" w:pos="4320"/>
        <w:tab w:val="right" w:pos="8640"/>
      </w:tabs>
    </w:pPr>
  </w:style>
  <w:style w:type="character" w:customStyle="1" w:styleId="FooterChar">
    <w:name w:val="Footer Char"/>
    <w:link w:val="Footer"/>
    <w:rsid w:val="000932B7"/>
    <w:rPr>
      <w:rFonts w:ascii="Times New Roman" w:eastAsia="Times New Roman" w:hAnsi="Times New Roman" w:cs="Times New Roman"/>
      <w:sz w:val="24"/>
      <w:szCs w:val="24"/>
    </w:rPr>
  </w:style>
  <w:style w:type="character" w:styleId="PageNumber">
    <w:name w:val="page number"/>
    <w:basedOn w:val="DefaultParagraphFont"/>
    <w:rsid w:val="000932B7"/>
  </w:style>
  <w:style w:type="paragraph" w:styleId="HTMLPreformatted">
    <w:name w:val="HTML Preformatted"/>
    <w:basedOn w:val="Normal"/>
    <w:link w:val="HTMLPreformattedChar"/>
    <w:rsid w:val="0009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0932B7"/>
    <w:rPr>
      <w:rFonts w:ascii="Courier New" w:eastAsia="Times New Roman" w:hAnsi="Courier New" w:cs="Courier New"/>
      <w:sz w:val="20"/>
      <w:szCs w:val="20"/>
    </w:rPr>
  </w:style>
  <w:style w:type="paragraph" w:customStyle="1" w:styleId="first1">
    <w:name w:val="first1"/>
    <w:basedOn w:val="Normal"/>
    <w:rsid w:val="000932B7"/>
    <w:pPr>
      <w:spacing w:before="48" w:after="120" w:line="312" w:lineRule="atLeast"/>
      <w:ind w:firstLine="480"/>
    </w:pPr>
    <w:rPr>
      <w:spacing w:val="7"/>
    </w:rPr>
  </w:style>
  <w:style w:type="character" w:styleId="Hyperlink">
    <w:name w:val="Hyperlink"/>
    <w:uiPriority w:val="99"/>
    <w:unhideWhenUsed/>
    <w:rsid w:val="000932B7"/>
    <w:rPr>
      <w:color w:val="990033"/>
      <w:u w:val="single"/>
    </w:rPr>
  </w:style>
  <w:style w:type="character" w:customStyle="1" w:styleId="headnote2">
    <w:name w:val="headnote2"/>
    <w:rsid w:val="000932B7"/>
    <w:rPr>
      <w:b/>
      <w:bCs/>
    </w:rPr>
  </w:style>
  <w:style w:type="paragraph" w:styleId="Header">
    <w:name w:val="header"/>
    <w:basedOn w:val="Normal"/>
    <w:link w:val="HeaderChar"/>
    <w:uiPriority w:val="99"/>
    <w:unhideWhenUsed/>
    <w:rsid w:val="00BA1EC8"/>
    <w:pPr>
      <w:tabs>
        <w:tab w:val="center" w:pos="4680"/>
        <w:tab w:val="right" w:pos="9360"/>
      </w:tabs>
    </w:pPr>
  </w:style>
  <w:style w:type="character" w:customStyle="1" w:styleId="HeaderChar">
    <w:name w:val="Header Char"/>
    <w:link w:val="Header"/>
    <w:uiPriority w:val="99"/>
    <w:rsid w:val="00BA1EC8"/>
    <w:rPr>
      <w:rFonts w:ascii="Times New Roman" w:eastAsia="Times New Roman" w:hAnsi="Times New Roman"/>
      <w:sz w:val="24"/>
      <w:szCs w:val="24"/>
    </w:rPr>
  </w:style>
  <w:style w:type="paragraph" w:styleId="NormalWeb">
    <w:name w:val="Normal (Web)"/>
    <w:basedOn w:val="Normal"/>
    <w:rsid w:val="00BA1EC8"/>
    <w:pPr>
      <w:spacing w:before="100" w:beforeAutospacing="1" w:after="100" w:afterAutospacing="1"/>
    </w:pPr>
  </w:style>
  <w:style w:type="paragraph" w:styleId="FootnoteText">
    <w:name w:val="footnote text"/>
    <w:basedOn w:val="Normal"/>
    <w:link w:val="FootnoteTextChar"/>
    <w:unhideWhenUsed/>
    <w:rsid w:val="00306738"/>
    <w:rPr>
      <w:sz w:val="20"/>
      <w:szCs w:val="20"/>
    </w:rPr>
  </w:style>
  <w:style w:type="character" w:customStyle="1" w:styleId="FootnoteTextChar">
    <w:name w:val="Footnote Text Char"/>
    <w:link w:val="FootnoteText"/>
    <w:rsid w:val="00306738"/>
    <w:rPr>
      <w:rFonts w:ascii="Times New Roman" w:eastAsia="Times New Roman" w:hAnsi="Times New Roman"/>
    </w:rPr>
  </w:style>
  <w:style w:type="character" w:styleId="FootnoteReference">
    <w:name w:val="footnote reference"/>
    <w:unhideWhenUsed/>
    <w:rsid w:val="00306738"/>
    <w:rPr>
      <w:vertAlign w:val="superscript"/>
    </w:rPr>
  </w:style>
  <w:style w:type="paragraph" w:styleId="BodyText">
    <w:name w:val="Body Text"/>
    <w:basedOn w:val="Normal"/>
    <w:link w:val="BodyTextChar"/>
    <w:rsid w:val="00A6726C"/>
    <w:pPr>
      <w:widowControl w:val="0"/>
      <w:autoSpaceDE w:val="0"/>
      <w:autoSpaceDN w:val="0"/>
      <w:adjustRightInd w:val="0"/>
      <w:spacing w:after="120"/>
    </w:pPr>
    <w:rPr>
      <w:rFonts w:ascii="Courier" w:hAnsi="Courier"/>
      <w:sz w:val="20"/>
    </w:rPr>
  </w:style>
  <w:style w:type="character" w:customStyle="1" w:styleId="BodyTextChar">
    <w:name w:val="Body Text Char"/>
    <w:link w:val="BodyText"/>
    <w:rsid w:val="00A6726C"/>
    <w:rPr>
      <w:rFonts w:ascii="Courier" w:eastAsia="Times New Roman" w:hAnsi="Courier"/>
      <w:szCs w:val="24"/>
    </w:rPr>
  </w:style>
  <w:style w:type="table" w:styleId="TableGrid">
    <w:name w:val="Table Grid"/>
    <w:basedOn w:val="TableNormal"/>
    <w:uiPriority w:val="59"/>
    <w:rsid w:val="0086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97E"/>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DC7C20"/>
    <w:rPr>
      <w:rFonts w:ascii="Times New Roman" w:eastAsia="Times New Roman" w:hAnsi="Times New Roman"/>
      <w:caps/>
      <w:sz w:val="22"/>
      <w:szCs w:val="22"/>
      <w:u w:val="single"/>
    </w:rPr>
  </w:style>
  <w:style w:type="character" w:styleId="CommentReference">
    <w:name w:val="annotation reference"/>
    <w:uiPriority w:val="99"/>
    <w:semiHidden/>
    <w:unhideWhenUsed/>
    <w:rsid w:val="00DA4030"/>
    <w:rPr>
      <w:sz w:val="16"/>
      <w:szCs w:val="16"/>
    </w:rPr>
  </w:style>
  <w:style w:type="paragraph" w:styleId="CommentText">
    <w:name w:val="annotation text"/>
    <w:basedOn w:val="Normal"/>
    <w:link w:val="CommentTextChar"/>
    <w:uiPriority w:val="99"/>
    <w:semiHidden/>
    <w:unhideWhenUsed/>
    <w:rsid w:val="00DA4030"/>
    <w:rPr>
      <w:sz w:val="20"/>
      <w:szCs w:val="20"/>
    </w:rPr>
  </w:style>
  <w:style w:type="character" w:customStyle="1" w:styleId="CommentTextChar">
    <w:name w:val="Comment Text Char"/>
    <w:link w:val="CommentText"/>
    <w:uiPriority w:val="99"/>
    <w:semiHidden/>
    <w:rsid w:val="00DA403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4030"/>
    <w:rPr>
      <w:b/>
      <w:bCs/>
    </w:rPr>
  </w:style>
  <w:style w:type="character" w:customStyle="1" w:styleId="CommentSubjectChar">
    <w:name w:val="Comment Subject Char"/>
    <w:link w:val="CommentSubject"/>
    <w:uiPriority w:val="99"/>
    <w:semiHidden/>
    <w:rsid w:val="00DA4030"/>
    <w:rPr>
      <w:rFonts w:ascii="Times New Roman" w:eastAsia="Times New Roman" w:hAnsi="Times New Roman"/>
      <w:b/>
      <w:bCs/>
    </w:rPr>
  </w:style>
  <w:style w:type="paragraph" w:styleId="BalloonText">
    <w:name w:val="Balloon Text"/>
    <w:basedOn w:val="Normal"/>
    <w:link w:val="BalloonTextChar"/>
    <w:uiPriority w:val="99"/>
    <w:semiHidden/>
    <w:unhideWhenUsed/>
    <w:rsid w:val="00DA4030"/>
    <w:rPr>
      <w:rFonts w:ascii="Tahoma" w:hAnsi="Tahoma" w:cs="Tahoma"/>
      <w:sz w:val="16"/>
      <w:szCs w:val="16"/>
    </w:rPr>
  </w:style>
  <w:style w:type="character" w:customStyle="1" w:styleId="BalloonTextChar">
    <w:name w:val="Balloon Text Char"/>
    <w:link w:val="BalloonText"/>
    <w:uiPriority w:val="99"/>
    <w:semiHidden/>
    <w:rsid w:val="00DA4030"/>
    <w:rPr>
      <w:rFonts w:ascii="Tahoma" w:eastAsia="Times New Roman" w:hAnsi="Tahoma" w:cs="Tahoma"/>
      <w:sz w:val="16"/>
      <w:szCs w:val="16"/>
    </w:rPr>
  </w:style>
  <w:style w:type="character" w:customStyle="1" w:styleId="Heading3Char">
    <w:name w:val="Heading 3 Char"/>
    <w:link w:val="Heading3"/>
    <w:rsid w:val="008B388F"/>
    <w:rPr>
      <w:rFonts w:ascii="Cambria" w:eastAsia="Times New Roman" w:hAnsi="Cambria" w:cs="Times New Roman"/>
      <w:b/>
      <w:bCs/>
      <w:sz w:val="26"/>
      <w:szCs w:val="26"/>
    </w:rPr>
  </w:style>
  <w:style w:type="character" w:customStyle="1" w:styleId="Heading7Char">
    <w:name w:val="Heading 7 Char"/>
    <w:link w:val="Heading7"/>
    <w:uiPriority w:val="9"/>
    <w:semiHidden/>
    <w:rsid w:val="008B388F"/>
    <w:rPr>
      <w:rFonts w:ascii="Calibri" w:eastAsia="Times New Roman" w:hAnsi="Calibri" w:cs="Times New Roman"/>
      <w:sz w:val="24"/>
      <w:szCs w:val="24"/>
    </w:rPr>
  </w:style>
  <w:style w:type="character" w:customStyle="1" w:styleId="Heading4Char">
    <w:name w:val="Heading 4 Char"/>
    <w:link w:val="Heading4"/>
    <w:rsid w:val="007F3D2D"/>
    <w:rPr>
      <w:rFonts w:ascii="Times New Roman" w:eastAsia="Times New Roman" w:hAnsi="Times New Roman"/>
      <w:sz w:val="22"/>
      <w:szCs w:val="23"/>
    </w:rPr>
  </w:style>
  <w:style w:type="character" w:customStyle="1" w:styleId="Heading1Char">
    <w:name w:val="Heading 1 Char"/>
    <w:link w:val="Heading1"/>
    <w:uiPriority w:val="9"/>
    <w:rsid w:val="00F716F3"/>
    <w:rPr>
      <w:rFonts w:ascii="Cambria" w:eastAsia="Times New Roman" w:hAnsi="Cambria" w:cs="Times New Roman"/>
      <w:b/>
      <w:bCs/>
      <w:kern w:val="32"/>
      <w:sz w:val="32"/>
      <w:szCs w:val="32"/>
    </w:rPr>
  </w:style>
  <w:style w:type="character" w:customStyle="1" w:styleId="Heading5Char">
    <w:name w:val="Heading 5 Char"/>
    <w:link w:val="Heading5"/>
    <w:rsid w:val="00F716F3"/>
    <w:rPr>
      <w:rFonts w:ascii="Times New Roman" w:eastAsia="Times New Roman" w:hAnsi="Times New Roman"/>
      <w:b/>
      <w:bCs/>
      <w:i/>
      <w:iCs/>
      <w:sz w:val="26"/>
      <w:szCs w:val="26"/>
    </w:rPr>
  </w:style>
  <w:style w:type="character" w:customStyle="1" w:styleId="Heading6Char">
    <w:name w:val="Heading 6 Char"/>
    <w:link w:val="Heading6"/>
    <w:rsid w:val="00F716F3"/>
    <w:rPr>
      <w:rFonts w:ascii="Times New Roman" w:eastAsia="Times New Roman" w:hAnsi="Times New Roman"/>
      <w:b/>
      <w:bCs/>
      <w:sz w:val="22"/>
      <w:szCs w:val="22"/>
    </w:rPr>
  </w:style>
  <w:style w:type="character" w:customStyle="1" w:styleId="Heading8Char">
    <w:name w:val="Heading 8 Char"/>
    <w:link w:val="Heading8"/>
    <w:rsid w:val="00F716F3"/>
    <w:rPr>
      <w:rFonts w:ascii="Times New Roman" w:eastAsia="Times New Roman" w:hAnsi="Times New Roman"/>
      <w:i/>
      <w:iCs/>
      <w:sz w:val="24"/>
      <w:szCs w:val="24"/>
    </w:rPr>
  </w:style>
  <w:style w:type="character" w:customStyle="1" w:styleId="Heading9Char">
    <w:name w:val="Heading 9 Char"/>
    <w:link w:val="Heading9"/>
    <w:rsid w:val="00F716F3"/>
    <w:rPr>
      <w:rFonts w:ascii="Arial" w:eastAsia="Times New Roman" w:hAnsi="Arial" w:cs="Arial"/>
      <w:sz w:val="22"/>
      <w:szCs w:val="22"/>
    </w:rPr>
  </w:style>
  <w:style w:type="numbering" w:styleId="ArticleSection">
    <w:name w:val="Outline List 3"/>
    <w:aliases w:val="Section / Subdivision"/>
    <w:basedOn w:val="NoList"/>
    <w:rsid w:val="00F716F3"/>
    <w:pPr>
      <w:numPr>
        <w:numId w:val="31"/>
      </w:numPr>
    </w:pPr>
  </w:style>
  <w:style w:type="paragraph" w:styleId="BodyTextIndent3">
    <w:name w:val="Body Text Indent 3"/>
    <w:basedOn w:val="Normal"/>
    <w:link w:val="BodyTextIndent3Char"/>
    <w:rsid w:val="00F716F3"/>
    <w:pPr>
      <w:spacing w:after="120"/>
      <w:ind w:left="360"/>
    </w:pPr>
    <w:rPr>
      <w:rFonts w:ascii="CG Times" w:hAnsi="CG Times"/>
      <w:sz w:val="16"/>
      <w:szCs w:val="16"/>
    </w:rPr>
  </w:style>
  <w:style w:type="character" w:customStyle="1" w:styleId="BodyTextIndent3Char">
    <w:name w:val="Body Text Indent 3 Char"/>
    <w:link w:val="BodyTextIndent3"/>
    <w:rsid w:val="00F716F3"/>
    <w:rPr>
      <w:rFonts w:ascii="CG Times" w:eastAsia="Times New Roman" w:hAnsi="CG Times"/>
      <w:sz w:val="16"/>
      <w:szCs w:val="16"/>
    </w:rPr>
  </w:style>
  <w:style w:type="paragraph" w:styleId="BodyTextIndent2">
    <w:name w:val="Body Text Indent 2"/>
    <w:basedOn w:val="Normal"/>
    <w:link w:val="BodyTextIndent2Char"/>
    <w:rsid w:val="00F716F3"/>
    <w:pPr>
      <w:spacing w:after="120" w:line="480" w:lineRule="auto"/>
      <w:ind w:left="360"/>
    </w:pPr>
  </w:style>
  <w:style w:type="character" w:customStyle="1" w:styleId="BodyTextIndent2Char">
    <w:name w:val="Body Text Indent 2 Char"/>
    <w:link w:val="BodyTextIndent2"/>
    <w:rsid w:val="00F716F3"/>
    <w:rPr>
      <w:rFonts w:ascii="Times New Roman" w:eastAsia="Times New Roman" w:hAnsi="Times New Roman"/>
      <w:sz w:val="24"/>
      <w:szCs w:val="24"/>
    </w:rPr>
  </w:style>
  <w:style w:type="paragraph" w:customStyle="1" w:styleId="Level1">
    <w:name w:val="Level 1"/>
    <w:basedOn w:val="Normal"/>
    <w:rsid w:val="00F716F3"/>
    <w:pPr>
      <w:widowControl w:val="0"/>
      <w:numPr>
        <w:numId w:val="32"/>
      </w:numPr>
      <w:autoSpaceDE w:val="0"/>
      <w:autoSpaceDN w:val="0"/>
      <w:adjustRightInd w:val="0"/>
      <w:ind w:left="2160" w:hanging="720"/>
      <w:outlineLvl w:val="0"/>
    </w:pPr>
    <w:rPr>
      <w:rFonts w:ascii="Baskerville Old Face" w:hAnsi="Baskerville Old Face"/>
      <w:sz w:val="20"/>
    </w:rPr>
  </w:style>
  <w:style w:type="paragraph" w:customStyle="1" w:styleId="Level2">
    <w:name w:val="Level 2"/>
    <w:basedOn w:val="Normal"/>
    <w:rsid w:val="00F716F3"/>
    <w:pPr>
      <w:widowControl w:val="0"/>
      <w:numPr>
        <w:ilvl w:val="1"/>
        <w:numId w:val="32"/>
      </w:numPr>
      <w:autoSpaceDE w:val="0"/>
      <w:autoSpaceDN w:val="0"/>
      <w:adjustRightInd w:val="0"/>
      <w:ind w:left="2160" w:hanging="720"/>
      <w:outlineLvl w:val="1"/>
    </w:pPr>
    <w:rPr>
      <w:rFonts w:ascii="Baskerville Old Face" w:hAnsi="Baskerville Old Face"/>
      <w:sz w:val="20"/>
    </w:rPr>
  </w:style>
  <w:style w:type="character" w:customStyle="1" w:styleId="apple-converted-space">
    <w:name w:val="apple-converted-space"/>
    <w:rsid w:val="00F716F3"/>
  </w:style>
  <w:style w:type="character" w:customStyle="1" w:styleId="headnote">
    <w:name w:val="headnote"/>
    <w:rsid w:val="00F716F3"/>
  </w:style>
  <w:style w:type="paragraph" w:customStyle="1" w:styleId="ALXTZoningOrdinanceHeading2">
    <w:name w:val="ALXT Zoning Ordinance Heading 2"/>
    <w:basedOn w:val="Normal"/>
    <w:link w:val="ALXTZoningOrdinanceHeading2Char"/>
    <w:qFormat/>
    <w:rsid w:val="00F716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3"/>
      <w:szCs w:val="23"/>
    </w:rPr>
  </w:style>
  <w:style w:type="character" w:customStyle="1" w:styleId="ALXTZoningOrdinanceHeading2Char">
    <w:name w:val="ALXT Zoning Ordinance Heading 2 Char"/>
    <w:link w:val="ALXTZoningOrdinanceHeading2"/>
    <w:rsid w:val="00F716F3"/>
    <w:rPr>
      <w:rFonts w:ascii="Times New Roman" w:eastAsia="Times New Roman" w:hAnsi="Times New Roman"/>
      <w:sz w:val="23"/>
      <w:szCs w:val="23"/>
    </w:rPr>
  </w:style>
  <w:style w:type="paragraph" w:customStyle="1" w:styleId="ALXTZoningOrdinanceHeading1">
    <w:name w:val="ALXT Zoning Ordinance Heading 1"/>
    <w:basedOn w:val="Heading5"/>
    <w:link w:val="ALXTZoningOrdinanceHeading1Char"/>
    <w:qFormat/>
    <w:rsid w:val="005E2CBA"/>
    <w:pPr>
      <w:keepNext/>
      <w:widowControl w:val="0"/>
      <w:tabs>
        <w:tab w:val="clear" w:pos="100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ind w:left="0" w:firstLine="0"/>
      <w:jc w:val="center"/>
    </w:pPr>
    <w:rPr>
      <w:i w:val="0"/>
      <w:iCs w:val="0"/>
      <w:sz w:val="23"/>
      <w:szCs w:val="23"/>
    </w:rPr>
  </w:style>
  <w:style w:type="character" w:customStyle="1" w:styleId="ALXTZoningOrdinanceHeading1Char">
    <w:name w:val="ALXT Zoning Ordinance Heading 1 Char"/>
    <w:link w:val="ALXTZoningOrdinanceHeading1"/>
    <w:rsid w:val="005E2CBA"/>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216C.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099FE-3983-4E8E-A3DE-B5AA8BF2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20762</CharactersWithSpaces>
  <SharedDoc>false</SharedDoc>
  <HLinks>
    <vt:vector size="6" baseType="variant">
      <vt:variant>
        <vt:i4>1179655</vt:i4>
      </vt:variant>
      <vt:variant>
        <vt:i4>0</vt:i4>
      </vt:variant>
      <vt:variant>
        <vt:i4>0</vt:i4>
      </vt:variant>
      <vt:variant>
        <vt:i4>5</vt:i4>
      </vt:variant>
      <vt:variant>
        <vt:lpwstr>https://www.revisor.mn.gov/statutes?id=216C.06</vt:lpwstr>
      </vt:variant>
      <vt:variant>
        <vt:lpwstr>stat.216C.06.14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Oleson</dc:creator>
  <cp:lastModifiedBy>Ben Oleson</cp:lastModifiedBy>
  <cp:revision>2</cp:revision>
  <cp:lastPrinted>2018-02-15T21:49:00Z</cp:lastPrinted>
  <dcterms:created xsi:type="dcterms:W3CDTF">2018-02-16T19:52:00Z</dcterms:created>
  <dcterms:modified xsi:type="dcterms:W3CDTF">2018-02-16T19:52:00Z</dcterms:modified>
</cp:coreProperties>
</file>